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3DE1A" w14:textId="4377B31D" w:rsidR="00CA7818" w:rsidRPr="00380610" w:rsidRDefault="00CA7818" w:rsidP="00380610">
      <w:pPr>
        <w:ind w:left="360"/>
        <w:jc w:val="center"/>
        <w:rPr>
          <w:rFonts w:ascii="Century Gothic" w:hAnsi="Century Gothic"/>
          <w:b/>
          <w:bCs/>
          <w:sz w:val="22"/>
          <w:szCs w:val="22"/>
        </w:rPr>
      </w:pPr>
      <w:r w:rsidRPr="009E3580">
        <w:rPr>
          <w:rFonts w:ascii="Century Gothic" w:hAnsi="Century Gothic"/>
          <w:b/>
          <w:bCs/>
        </w:rPr>
        <w:t>Liquidity Coverage Ratio (LCR):</w:t>
      </w:r>
    </w:p>
    <w:p w14:paraId="28DCA5D6" w14:textId="77777777" w:rsidR="00766F25" w:rsidRDefault="00766F25" w:rsidP="00766F25">
      <w:pPr>
        <w:jc w:val="both"/>
        <w:rPr>
          <w:rFonts w:ascii="Century Gothic" w:hAnsi="Century Gothic"/>
          <w:b/>
          <w:bCs/>
          <w:u w:val="single"/>
        </w:rPr>
      </w:pPr>
    </w:p>
    <w:p w14:paraId="2EBC8701" w14:textId="77777777" w:rsidR="00CA7818" w:rsidRPr="009E3580" w:rsidRDefault="00CA7818" w:rsidP="00766F25">
      <w:pPr>
        <w:jc w:val="both"/>
        <w:rPr>
          <w:rFonts w:ascii="Century Gothic" w:hAnsi="Century Gothic"/>
          <w:b/>
          <w:bCs/>
          <w:u w:val="single"/>
        </w:rPr>
      </w:pPr>
      <w:r w:rsidRPr="009E3580">
        <w:rPr>
          <w:rFonts w:ascii="Century Gothic" w:hAnsi="Century Gothic"/>
          <w:b/>
          <w:bCs/>
          <w:u w:val="single"/>
        </w:rPr>
        <w:t>Quantitative Disclosure:</w:t>
      </w:r>
    </w:p>
    <w:p w14:paraId="1193F8FF" w14:textId="77777777" w:rsidR="00CA7818" w:rsidRPr="009E3580" w:rsidRDefault="00CA7818" w:rsidP="00CA7818">
      <w:pPr>
        <w:ind w:left="720"/>
        <w:jc w:val="both"/>
        <w:rPr>
          <w:rFonts w:ascii="Century Gothic" w:hAnsi="Century Gothic"/>
          <w:b/>
          <w:bCs/>
          <w:sz w:val="22"/>
          <w:szCs w:val="22"/>
        </w:rPr>
      </w:pPr>
    </w:p>
    <w:tbl>
      <w:tblPr>
        <w:tblW w:w="5000" w:type="pct"/>
        <w:tblLook w:val="04A0" w:firstRow="1" w:lastRow="0" w:firstColumn="1" w:lastColumn="0" w:noHBand="0" w:noVBand="1"/>
      </w:tblPr>
      <w:tblGrid>
        <w:gridCol w:w="908"/>
        <w:gridCol w:w="5531"/>
        <w:gridCol w:w="2040"/>
        <w:gridCol w:w="182"/>
        <w:gridCol w:w="365"/>
        <w:gridCol w:w="346"/>
        <w:gridCol w:w="334"/>
        <w:gridCol w:w="634"/>
        <w:gridCol w:w="222"/>
      </w:tblGrid>
      <w:tr w:rsidR="00527862" w:rsidRPr="009E3580" w14:paraId="7E174701" w14:textId="77777777" w:rsidTr="00A36543">
        <w:trPr>
          <w:trHeight w:val="315"/>
        </w:trPr>
        <w:tc>
          <w:tcPr>
            <w:tcW w:w="4100" w:type="pct"/>
            <w:gridSpan w:val="4"/>
            <w:tcBorders>
              <w:top w:val="nil"/>
              <w:left w:val="nil"/>
              <w:bottom w:val="single" w:sz="8" w:space="0" w:color="auto"/>
              <w:right w:val="nil"/>
            </w:tcBorders>
            <w:shd w:val="clear" w:color="auto" w:fill="auto"/>
            <w:noWrap/>
            <w:vAlign w:val="center"/>
            <w:hideMark/>
          </w:tcPr>
          <w:p w14:paraId="6F821F3C" w14:textId="7077E472" w:rsidR="00531E1B" w:rsidRPr="00A03097" w:rsidRDefault="00531E1B" w:rsidP="00AD6D12">
            <w:pPr>
              <w:jc w:val="both"/>
              <w:rPr>
                <w:rFonts w:ascii="Century Gothic" w:hAnsi="Century Gothic" w:cs="Calibri"/>
                <w:b/>
                <w:bCs/>
                <w:sz w:val="22"/>
                <w:szCs w:val="22"/>
                <w:lang w:val="en-IN" w:eastAsia="en-IN" w:bidi="hi-IN"/>
              </w:rPr>
            </w:pPr>
            <w:r w:rsidRPr="00A03097">
              <w:rPr>
                <w:rFonts w:ascii="Century Gothic" w:hAnsi="Century Gothic" w:cs="Calibri"/>
                <w:b/>
                <w:bCs/>
                <w:sz w:val="22"/>
                <w:szCs w:val="22"/>
                <w:lang w:val="en-IN" w:eastAsia="en-IN" w:bidi="hi-IN"/>
              </w:rPr>
              <w:t xml:space="preserve">LIQUIDITY COVERAGE RATIO (For quarter ended </w:t>
            </w:r>
            <w:r w:rsidR="00AD6D12" w:rsidRPr="00A03097">
              <w:rPr>
                <w:rFonts w:ascii="Century Gothic" w:hAnsi="Century Gothic" w:cs="Calibri"/>
                <w:b/>
                <w:bCs/>
                <w:sz w:val="22"/>
                <w:szCs w:val="22"/>
                <w:lang w:val="en-IN" w:eastAsia="en-IN" w:bidi="hi-IN"/>
              </w:rPr>
              <w:t>June</w:t>
            </w:r>
            <w:r w:rsidR="00FF661E" w:rsidRPr="00A03097">
              <w:rPr>
                <w:rFonts w:ascii="Century Gothic" w:hAnsi="Century Gothic" w:cs="Calibri"/>
                <w:b/>
                <w:bCs/>
                <w:sz w:val="22"/>
                <w:szCs w:val="22"/>
                <w:lang w:val="en-IN" w:eastAsia="en-IN" w:bidi="hi-IN"/>
              </w:rPr>
              <w:t xml:space="preserve"> 2025</w:t>
            </w:r>
            <w:r w:rsidRPr="00A03097">
              <w:rPr>
                <w:rFonts w:ascii="Century Gothic" w:hAnsi="Century Gothic" w:cs="Calibri"/>
                <w:b/>
                <w:bCs/>
                <w:sz w:val="22"/>
                <w:szCs w:val="22"/>
                <w:lang w:val="en-IN" w:eastAsia="en-IN" w:bidi="hi-IN"/>
              </w:rPr>
              <w:t>)-</w:t>
            </w:r>
          </w:p>
        </w:tc>
        <w:tc>
          <w:tcPr>
            <w:tcW w:w="173" w:type="pct"/>
            <w:tcBorders>
              <w:top w:val="nil"/>
              <w:left w:val="nil"/>
              <w:bottom w:val="nil"/>
              <w:right w:val="nil"/>
            </w:tcBorders>
            <w:shd w:val="clear" w:color="auto" w:fill="auto"/>
            <w:vAlign w:val="center"/>
            <w:hideMark/>
          </w:tcPr>
          <w:p w14:paraId="6DF52F3D" w14:textId="77777777" w:rsidR="00531E1B" w:rsidRPr="009E3580" w:rsidRDefault="00531E1B" w:rsidP="00531E1B">
            <w:pPr>
              <w:jc w:val="both"/>
              <w:rPr>
                <w:rFonts w:ascii="Century Gothic" w:hAnsi="Century Gothic" w:cs="Calibri"/>
                <w:sz w:val="20"/>
                <w:szCs w:val="20"/>
                <w:lang w:val="en-IN" w:eastAsia="en-IN" w:bidi="hi-IN"/>
              </w:rPr>
            </w:pPr>
          </w:p>
        </w:tc>
        <w:tc>
          <w:tcPr>
            <w:tcW w:w="164" w:type="pct"/>
            <w:tcBorders>
              <w:top w:val="nil"/>
              <w:left w:val="nil"/>
              <w:bottom w:val="nil"/>
              <w:right w:val="nil"/>
            </w:tcBorders>
            <w:shd w:val="clear" w:color="auto" w:fill="auto"/>
            <w:vAlign w:val="center"/>
            <w:hideMark/>
          </w:tcPr>
          <w:p w14:paraId="72222D52" w14:textId="77777777" w:rsidR="00531E1B" w:rsidRPr="009E3580" w:rsidRDefault="00531E1B" w:rsidP="00531E1B">
            <w:pPr>
              <w:jc w:val="both"/>
              <w:rPr>
                <w:rFonts w:ascii="Century Gothic" w:hAnsi="Century Gothic" w:cs="Calibri"/>
                <w:sz w:val="20"/>
                <w:szCs w:val="20"/>
                <w:lang w:val="en-IN" w:eastAsia="en-IN" w:bidi="hi-IN"/>
              </w:rPr>
            </w:pPr>
          </w:p>
        </w:tc>
        <w:tc>
          <w:tcPr>
            <w:tcW w:w="158" w:type="pct"/>
            <w:tcBorders>
              <w:top w:val="nil"/>
              <w:left w:val="nil"/>
              <w:bottom w:val="nil"/>
              <w:right w:val="nil"/>
            </w:tcBorders>
            <w:shd w:val="clear" w:color="auto" w:fill="auto"/>
            <w:vAlign w:val="center"/>
            <w:hideMark/>
          </w:tcPr>
          <w:p w14:paraId="24318DDD" w14:textId="77777777" w:rsidR="00531E1B" w:rsidRPr="009E3580" w:rsidRDefault="00531E1B" w:rsidP="00531E1B">
            <w:pPr>
              <w:jc w:val="both"/>
              <w:rPr>
                <w:rFonts w:ascii="Century Gothic" w:hAnsi="Century Gothic" w:cs="Calibri"/>
                <w:sz w:val="20"/>
                <w:szCs w:val="20"/>
                <w:lang w:val="en-IN" w:eastAsia="en-IN" w:bidi="hi-IN"/>
              </w:rPr>
            </w:pPr>
          </w:p>
        </w:tc>
        <w:tc>
          <w:tcPr>
            <w:tcW w:w="405" w:type="pct"/>
            <w:gridSpan w:val="2"/>
            <w:tcBorders>
              <w:top w:val="nil"/>
              <w:left w:val="nil"/>
              <w:bottom w:val="nil"/>
              <w:right w:val="nil"/>
            </w:tcBorders>
            <w:shd w:val="clear" w:color="auto" w:fill="auto"/>
            <w:vAlign w:val="center"/>
            <w:hideMark/>
          </w:tcPr>
          <w:p w14:paraId="1C1C207E" w14:textId="77777777" w:rsidR="00531E1B" w:rsidRPr="009E3580" w:rsidRDefault="00531E1B" w:rsidP="00531E1B">
            <w:pPr>
              <w:jc w:val="both"/>
              <w:rPr>
                <w:rFonts w:ascii="Century Gothic" w:hAnsi="Century Gothic" w:cs="Calibri"/>
                <w:sz w:val="20"/>
                <w:szCs w:val="20"/>
                <w:lang w:val="en-IN" w:eastAsia="en-IN" w:bidi="hi-IN"/>
              </w:rPr>
            </w:pPr>
          </w:p>
        </w:tc>
      </w:tr>
      <w:tr w:rsidR="00527862" w:rsidRPr="009E3580" w14:paraId="1BE6BFEB" w14:textId="77777777" w:rsidTr="00385D30">
        <w:trPr>
          <w:gridAfter w:val="1"/>
          <w:wAfter w:w="105" w:type="pct"/>
          <w:trHeight w:val="330"/>
        </w:trPr>
        <w:tc>
          <w:tcPr>
            <w:tcW w:w="4895" w:type="pct"/>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2FA558" w14:textId="7CA9883C" w:rsidR="00531E1B" w:rsidRPr="009E3580" w:rsidRDefault="00531E1B" w:rsidP="00531E1B">
            <w:pPr>
              <w:jc w:val="right"/>
              <w:rPr>
                <w:rFonts w:ascii="Century Gothic" w:hAnsi="Century Gothic" w:cs="Calibri"/>
                <w:bCs/>
                <w:sz w:val="20"/>
                <w:szCs w:val="20"/>
                <w:lang w:val="en-IN" w:eastAsia="en-IN" w:bidi="hi-IN"/>
              </w:rPr>
            </w:pPr>
            <w:r w:rsidRPr="009E3580">
              <w:rPr>
                <w:rFonts w:ascii="Century Gothic" w:hAnsi="Century Gothic" w:cs="Calibri"/>
                <w:bCs/>
                <w:sz w:val="20"/>
                <w:szCs w:val="20"/>
                <w:lang w:eastAsia="en-IN" w:bidi="hi-IN"/>
              </w:rPr>
              <w:t xml:space="preserve">(Amount in </w:t>
            </w:r>
            <w:proofErr w:type="spellStart"/>
            <w:r w:rsidRPr="009E3580">
              <w:rPr>
                <w:rFonts w:ascii="Century Gothic" w:hAnsi="Century Gothic" w:cs="Calibri"/>
                <w:bCs/>
                <w:sz w:val="20"/>
                <w:szCs w:val="20"/>
                <w:lang w:eastAsia="en-IN" w:bidi="hi-IN"/>
              </w:rPr>
              <w:t>Rs</w:t>
            </w:r>
            <w:proofErr w:type="spellEnd"/>
            <w:r w:rsidRPr="009E3580">
              <w:rPr>
                <w:rFonts w:ascii="Century Gothic" w:hAnsi="Century Gothic" w:cs="Calibri"/>
                <w:bCs/>
                <w:sz w:val="20"/>
                <w:szCs w:val="20"/>
                <w:lang w:eastAsia="en-IN" w:bidi="hi-IN"/>
              </w:rPr>
              <w:t xml:space="preserve">. </w:t>
            </w:r>
            <w:proofErr w:type="spellStart"/>
            <w:r w:rsidRPr="009E3580">
              <w:rPr>
                <w:rFonts w:ascii="Century Gothic" w:hAnsi="Century Gothic" w:cs="Calibri"/>
                <w:bCs/>
                <w:sz w:val="20"/>
                <w:szCs w:val="20"/>
                <w:lang w:eastAsia="en-IN" w:bidi="hi-IN"/>
              </w:rPr>
              <w:t>Crores</w:t>
            </w:r>
            <w:proofErr w:type="spellEnd"/>
            <w:r w:rsidRPr="009E3580">
              <w:rPr>
                <w:rFonts w:ascii="Century Gothic" w:hAnsi="Century Gothic" w:cs="Calibri"/>
                <w:bCs/>
                <w:sz w:val="20"/>
                <w:szCs w:val="20"/>
                <w:lang w:eastAsia="en-IN" w:bidi="hi-IN"/>
              </w:rPr>
              <w:t>)</w:t>
            </w:r>
          </w:p>
        </w:tc>
      </w:tr>
      <w:tr w:rsidR="00527862" w:rsidRPr="009E3580" w14:paraId="23A9D662" w14:textId="77777777" w:rsidTr="00DA19EB">
        <w:trPr>
          <w:gridAfter w:val="1"/>
          <w:wAfter w:w="105" w:type="pct"/>
          <w:trHeight w:val="300"/>
        </w:trPr>
        <w:tc>
          <w:tcPr>
            <w:tcW w:w="3048"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7E5D4E85" w14:textId="154A130F" w:rsidR="00531E1B" w:rsidRPr="009E3580" w:rsidRDefault="00531E1B" w:rsidP="00531E1B">
            <w:pPr>
              <w:rPr>
                <w:rFonts w:ascii="Century Gothic" w:hAnsi="Century Gothic" w:cs="Calibri"/>
                <w:sz w:val="22"/>
                <w:szCs w:val="22"/>
                <w:lang w:val="en-IN" w:eastAsia="en-IN" w:bidi="hi-IN"/>
              </w:rPr>
            </w:pPr>
          </w:p>
        </w:tc>
        <w:tc>
          <w:tcPr>
            <w:tcW w:w="1847"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9A39D7" w14:textId="6DA8FBAC" w:rsidR="00531E1B" w:rsidRPr="009E3580" w:rsidRDefault="00AD6D12" w:rsidP="00531E1B">
            <w:pPr>
              <w:jc w:val="center"/>
              <w:rPr>
                <w:rFonts w:ascii="Century Gothic" w:hAnsi="Century Gothic" w:cs="Calibri"/>
                <w:b/>
                <w:bCs/>
                <w:sz w:val="20"/>
                <w:szCs w:val="20"/>
                <w:lang w:val="en-IN" w:eastAsia="en-IN" w:bidi="hi-IN"/>
              </w:rPr>
            </w:pPr>
            <w:r>
              <w:rPr>
                <w:rFonts w:ascii="Century Gothic" w:hAnsi="Century Gothic" w:cs="Calibri"/>
                <w:b/>
                <w:bCs/>
                <w:sz w:val="20"/>
                <w:szCs w:val="20"/>
                <w:lang w:eastAsia="en-IN" w:bidi="hi-IN"/>
              </w:rPr>
              <w:t>Quarter ended 30.06</w:t>
            </w:r>
            <w:r w:rsidR="00DF4F46">
              <w:rPr>
                <w:rFonts w:ascii="Century Gothic" w:hAnsi="Century Gothic" w:cs="Calibri"/>
                <w:b/>
                <w:bCs/>
                <w:sz w:val="20"/>
                <w:szCs w:val="20"/>
                <w:lang w:eastAsia="en-IN" w:bidi="hi-IN"/>
              </w:rPr>
              <w:t>.2025</w:t>
            </w:r>
          </w:p>
        </w:tc>
      </w:tr>
      <w:tr w:rsidR="00527862" w:rsidRPr="009E3580" w14:paraId="69A86647" w14:textId="77777777" w:rsidTr="00DA19EB">
        <w:trPr>
          <w:trHeight w:val="269"/>
        </w:trPr>
        <w:tc>
          <w:tcPr>
            <w:tcW w:w="3048" w:type="pct"/>
            <w:gridSpan w:val="2"/>
            <w:vMerge/>
            <w:tcBorders>
              <w:top w:val="single" w:sz="8" w:space="0" w:color="auto"/>
              <w:left w:val="single" w:sz="8" w:space="0" w:color="auto"/>
              <w:bottom w:val="single" w:sz="8" w:space="0" w:color="000000"/>
              <w:right w:val="single" w:sz="8" w:space="0" w:color="000000"/>
            </w:tcBorders>
            <w:vAlign w:val="center"/>
            <w:hideMark/>
          </w:tcPr>
          <w:p w14:paraId="459228F2" w14:textId="77777777" w:rsidR="00531E1B" w:rsidRPr="009E3580" w:rsidRDefault="00531E1B" w:rsidP="00531E1B">
            <w:pPr>
              <w:rPr>
                <w:rFonts w:ascii="Century Gothic" w:hAnsi="Century Gothic" w:cs="Calibri"/>
                <w:sz w:val="22"/>
                <w:szCs w:val="22"/>
                <w:lang w:val="en-IN" w:eastAsia="en-IN" w:bidi="hi-IN"/>
              </w:rPr>
            </w:pPr>
          </w:p>
        </w:tc>
        <w:tc>
          <w:tcPr>
            <w:tcW w:w="1847" w:type="pct"/>
            <w:gridSpan w:val="6"/>
            <w:vMerge/>
            <w:tcBorders>
              <w:top w:val="single" w:sz="8" w:space="0" w:color="auto"/>
              <w:left w:val="single" w:sz="8" w:space="0" w:color="auto"/>
              <w:bottom w:val="single" w:sz="8" w:space="0" w:color="000000"/>
              <w:right w:val="single" w:sz="8" w:space="0" w:color="000000"/>
            </w:tcBorders>
            <w:vAlign w:val="center"/>
            <w:hideMark/>
          </w:tcPr>
          <w:p w14:paraId="1339A05C" w14:textId="77777777" w:rsidR="00531E1B" w:rsidRPr="009E3580" w:rsidRDefault="00531E1B" w:rsidP="00531E1B">
            <w:pPr>
              <w:rPr>
                <w:rFonts w:ascii="Century Gothic" w:hAnsi="Century Gothic" w:cs="Calibri"/>
                <w:b/>
                <w:bCs/>
                <w:sz w:val="20"/>
                <w:szCs w:val="20"/>
                <w:lang w:val="en-IN" w:eastAsia="en-IN" w:bidi="hi-IN"/>
              </w:rPr>
            </w:pPr>
          </w:p>
        </w:tc>
        <w:tc>
          <w:tcPr>
            <w:tcW w:w="105" w:type="pct"/>
            <w:tcBorders>
              <w:top w:val="nil"/>
              <w:left w:val="single" w:sz="8" w:space="0" w:color="auto"/>
              <w:bottom w:val="nil"/>
              <w:right w:val="nil"/>
            </w:tcBorders>
            <w:vAlign w:val="center"/>
            <w:hideMark/>
          </w:tcPr>
          <w:p w14:paraId="24C9B819" w14:textId="77777777" w:rsidR="00531E1B" w:rsidRPr="009E3580" w:rsidRDefault="00531E1B" w:rsidP="00531E1B">
            <w:pPr>
              <w:rPr>
                <w:rFonts w:ascii="Century Gothic" w:hAnsi="Century Gothic"/>
                <w:lang w:val="en-IN" w:eastAsia="en-IN" w:bidi="hi-IN"/>
              </w:rPr>
            </w:pPr>
          </w:p>
        </w:tc>
      </w:tr>
      <w:tr w:rsidR="00527862" w:rsidRPr="009E3580" w14:paraId="2E92DCD8" w14:textId="77777777" w:rsidTr="00DA19EB">
        <w:trPr>
          <w:gridAfter w:val="1"/>
          <w:wAfter w:w="105" w:type="pct"/>
          <w:trHeight w:val="824"/>
        </w:trPr>
        <w:tc>
          <w:tcPr>
            <w:tcW w:w="3048"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C68B1C4" w14:textId="77777777" w:rsidR="00531E1B" w:rsidRPr="009E3580" w:rsidRDefault="00531E1B" w:rsidP="00531E1B">
            <w:pPr>
              <w:rPr>
                <w:rFonts w:ascii="Century Gothic" w:hAnsi="Century Gothic" w:cs="Calibri"/>
                <w:sz w:val="22"/>
                <w:szCs w:val="22"/>
                <w:lang w:val="en-IN" w:eastAsia="en-IN" w:bidi="hi-IN"/>
              </w:rPr>
            </w:pPr>
            <w:r w:rsidRPr="009E3580">
              <w:rPr>
                <w:rFonts w:ascii="Century Gothic" w:hAnsi="Century Gothic" w:cs="Calibri"/>
                <w:sz w:val="22"/>
                <w:szCs w:val="22"/>
                <w:lang w:val="en-IN" w:eastAsia="en-IN" w:bidi="hi-IN"/>
              </w:rPr>
              <w:t> </w:t>
            </w:r>
          </w:p>
        </w:tc>
        <w:tc>
          <w:tcPr>
            <w:tcW w:w="966" w:type="pct"/>
            <w:tcBorders>
              <w:top w:val="nil"/>
              <w:left w:val="nil"/>
              <w:bottom w:val="single" w:sz="4" w:space="0" w:color="auto"/>
              <w:right w:val="single" w:sz="8" w:space="0" w:color="auto"/>
            </w:tcBorders>
            <w:shd w:val="clear" w:color="auto" w:fill="auto"/>
            <w:vAlign w:val="center"/>
            <w:hideMark/>
          </w:tcPr>
          <w:p w14:paraId="2044C05F" w14:textId="77777777" w:rsidR="0022624A" w:rsidRPr="009E3580" w:rsidRDefault="00531E1B" w:rsidP="0022624A">
            <w:pPr>
              <w:jc w:val="center"/>
              <w:rPr>
                <w:rFonts w:ascii="Century Gothic" w:hAnsi="Century Gothic" w:cs="Calibri"/>
                <w:b/>
                <w:bCs/>
                <w:sz w:val="20"/>
                <w:szCs w:val="20"/>
                <w:lang w:eastAsia="en-IN" w:bidi="hi-IN"/>
              </w:rPr>
            </w:pPr>
            <w:r w:rsidRPr="009E3580">
              <w:rPr>
                <w:rFonts w:ascii="Century Gothic" w:hAnsi="Century Gothic" w:cs="Calibri"/>
                <w:b/>
                <w:bCs/>
                <w:sz w:val="20"/>
                <w:szCs w:val="20"/>
                <w:lang w:eastAsia="en-IN" w:bidi="hi-IN"/>
              </w:rPr>
              <w:t>Total Un-weighted</w:t>
            </w:r>
            <w:r w:rsidR="0022624A" w:rsidRPr="009E3580">
              <w:rPr>
                <w:rFonts w:ascii="Century Gothic" w:hAnsi="Century Gothic" w:cs="Calibri"/>
                <w:b/>
                <w:bCs/>
                <w:sz w:val="20"/>
                <w:szCs w:val="20"/>
                <w:lang w:eastAsia="en-IN" w:bidi="hi-IN"/>
              </w:rPr>
              <w:t xml:space="preserve"> </w:t>
            </w:r>
          </w:p>
          <w:p w14:paraId="61556E98" w14:textId="626D9046" w:rsidR="0022624A" w:rsidRPr="009E3580" w:rsidRDefault="00531E1B" w:rsidP="0022624A">
            <w:pPr>
              <w:jc w:val="center"/>
              <w:rPr>
                <w:rFonts w:ascii="Century Gothic" w:hAnsi="Century Gothic" w:cs="Calibri"/>
                <w:b/>
                <w:bCs/>
                <w:sz w:val="20"/>
                <w:szCs w:val="20"/>
                <w:lang w:eastAsia="en-IN" w:bidi="hi-IN"/>
              </w:rPr>
            </w:pPr>
            <w:r w:rsidRPr="009E3580">
              <w:rPr>
                <w:rFonts w:ascii="Century Gothic" w:hAnsi="Century Gothic" w:cs="Calibri"/>
                <w:b/>
                <w:bCs/>
                <w:sz w:val="20"/>
                <w:szCs w:val="20"/>
                <w:lang w:eastAsia="en-IN" w:bidi="hi-IN"/>
              </w:rPr>
              <w:t xml:space="preserve">Value </w:t>
            </w:r>
          </w:p>
          <w:p w14:paraId="5778B5B2" w14:textId="2580AC44" w:rsidR="00531E1B" w:rsidRPr="009E3580" w:rsidRDefault="00531E1B" w:rsidP="0022624A">
            <w:pPr>
              <w:jc w:val="center"/>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(Average)</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6BEA980B" w14:textId="14BAE7A5" w:rsidR="0022624A" w:rsidRPr="009E3580" w:rsidRDefault="00531E1B" w:rsidP="0022624A">
            <w:pPr>
              <w:jc w:val="center"/>
              <w:rPr>
                <w:rFonts w:ascii="Century Gothic" w:hAnsi="Century Gothic" w:cs="Calibri"/>
                <w:b/>
                <w:bCs/>
                <w:sz w:val="20"/>
                <w:szCs w:val="20"/>
                <w:lang w:eastAsia="en-IN" w:bidi="hi-IN"/>
              </w:rPr>
            </w:pPr>
            <w:r w:rsidRPr="009E3580">
              <w:rPr>
                <w:rFonts w:ascii="Century Gothic" w:hAnsi="Century Gothic" w:cs="Calibri"/>
                <w:b/>
                <w:bCs/>
                <w:sz w:val="20"/>
                <w:szCs w:val="20"/>
                <w:lang w:eastAsia="en-IN" w:bidi="hi-IN"/>
              </w:rPr>
              <w:t>Total Weighted</w:t>
            </w:r>
          </w:p>
          <w:p w14:paraId="545D6785" w14:textId="77777777" w:rsidR="0022624A" w:rsidRPr="009E3580" w:rsidRDefault="00531E1B" w:rsidP="0022624A">
            <w:pPr>
              <w:jc w:val="center"/>
              <w:rPr>
                <w:rFonts w:ascii="Century Gothic" w:hAnsi="Century Gothic" w:cs="Calibri"/>
                <w:b/>
                <w:bCs/>
                <w:sz w:val="20"/>
                <w:szCs w:val="20"/>
                <w:lang w:eastAsia="en-IN" w:bidi="hi-IN"/>
              </w:rPr>
            </w:pPr>
            <w:r w:rsidRPr="009E3580">
              <w:rPr>
                <w:rFonts w:ascii="Century Gothic" w:hAnsi="Century Gothic" w:cs="Calibri"/>
                <w:b/>
                <w:bCs/>
                <w:sz w:val="20"/>
                <w:szCs w:val="20"/>
                <w:lang w:eastAsia="en-IN" w:bidi="hi-IN"/>
              </w:rPr>
              <w:t xml:space="preserve">Value </w:t>
            </w:r>
          </w:p>
          <w:p w14:paraId="4CDF537E" w14:textId="1E5949B6" w:rsidR="00531E1B" w:rsidRPr="009E3580" w:rsidRDefault="00531E1B" w:rsidP="0022624A">
            <w:pPr>
              <w:jc w:val="center"/>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(Average )</w:t>
            </w:r>
          </w:p>
        </w:tc>
      </w:tr>
      <w:tr w:rsidR="00527862" w:rsidRPr="009E3580" w14:paraId="1B2BB477" w14:textId="77777777" w:rsidTr="00DA19EB">
        <w:trPr>
          <w:gridAfter w:val="1"/>
          <w:wAfter w:w="105" w:type="pct"/>
          <w:trHeight w:val="553"/>
        </w:trPr>
        <w:tc>
          <w:tcPr>
            <w:tcW w:w="30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1CAA" w14:textId="0894C86B" w:rsidR="00531E1B" w:rsidRPr="009E3580" w:rsidRDefault="00531E1B" w:rsidP="00531E1B">
            <w:pPr>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High Quality Liquid Assets</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B8990" w14:textId="77777777" w:rsidR="00531E1B" w:rsidRPr="009E3580" w:rsidRDefault="00531E1B"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 </w:t>
            </w:r>
          </w:p>
        </w:tc>
        <w:tc>
          <w:tcPr>
            <w:tcW w:w="881" w:type="pct"/>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14:paraId="2589310E" w14:textId="77777777" w:rsidR="00531E1B" w:rsidRPr="009E3580" w:rsidRDefault="00531E1B"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 </w:t>
            </w:r>
          </w:p>
        </w:tc>
      </w:tr>
      <w:tr w:rsidR="00527862" w:rsidRPr="009E3580" w14:paraId="3F401673" w14:textId="77777777" w:rsidTr="00DA19EB">
        <w:trPr>
          <w:gridAfter w:val="1"/>
          <w:wAfter w:w="105" w:type="pct"/>
          <w:trHeight w:val="330"/>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7DDD1" w14:textId="77777777" w:rsidR="00531E1B" w:rsidRPr="009E3580" w:rsidRDefault="00531E1B" w:rsidP="00531E1B">
            <w:pPr>
              <w:rPr>
                <w:rFonts w:ascii="Century Gothic" w:hAnsi="Century Gothic" w:cs="Calibri"/>
                <w:b/>
                <w:bCs/>
                <w:sz w:val="20"/>
                <w:szCs w:val="20"/>
                <w:lang w:eastAsia="en-IN" w:bidi="hi-IN"/>
              </w:rPr>
            </w:pPr>
            <w:r w:rsidRPr="009E3580">
              <w:rPr>
                <w:rFonts w:ascii="Century Gothic" w:hAnsi="Century Gothic" w:cs="Calibri"/>
                <w:sz w:val="20"/>
                <w:szCs w:val="20"/>
                <w:lang w:eastAsia="en-IN" w:bidi="hi-IN"/>
              </w:rPr>
              <w:t>1</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42325ECA" w14:textId="477CB4E1" w:rsidR="00531E1B" w:rsidRPr="009E3580" w:rsidRDefault="00531E1B" w:rsidP="00531E1B">
            <w:pPr>
              <w:rPr>
                <w:rFonts w:ascii="Century Gothic" w:hAnsi="Century Gothic" w:cs="Calibri"/>
                <w:b/>
                <w:bCs/>
                <w:sz w:val="20"/>
                <w:szCs w:val="20"/>
                <w:lang w:eastAsia="en-IN" w:bidi="hi-IN"/>
              </w:rPr>
            </w:pPr>
            <w:r w:rsidRPr="009E3580">
              <w:rPr>
                <w:rFonts w:ascii="Century Gothic" w:hAnsi="Century Gothic" w:cs="Calibri"/>
                <w:sz w:val="20"/>
                <w:szCs w:val="20"/>
                <w:lang w:eastAsia="en-IN" w:bidi="hi-IN"/>
              </w:rPr>
              <w:t>Total High quality Liquid Assets(HQLA)</w:t>
            </w:r>
          </w:p>
        </w:tc>
        <w:tc>
          <w:tcPr>
            <w:tcW w:w="96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6B3437" w14:textId="77777777" w:rsidR="00531E1B" w:rsidRPr="009E3580" w:rsidRDefault="00531E1B" w:rsidP="00A605C5">
            <w:pPr>
              <w:jc w:val="center"/>
              <w:rPr>
                <w:rFonts w:ascii="Century Gothic" w:hAnsi="Century Gothic" w:cs="Calibri"/>
                <w:b/>
                <w:bCs/>
                <w:sz w:val="20"/>
                <w:szCs w:val="20"/>
                <w:lang w:eastAsia="en-IN" w:bidi="hi-IN"/>
              </w:rPr>
            </w:pPr>
          </w:p>
        </w:tc>
        <w:tc>
          <w:tcPr>
            <w:tcW w:w="88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BEEABD" w14:textId="0A0B467D" w:rsidR="00531E1B" w:rsidRPr="000856AD" w:rsidRDefault="00A3656D" w:rsidP="00A605C5">
            <w:pPr>
              <w:jc w:val="center"/>
              <w:rPr>
                <w:rFonts w:ascii="Century Gothic" w:hAnsi="Century Gothic" w:cs="Calibri"/>
                <w:color w:val="000000"/>
              </w:rPr>
            </w:pPr>
            <w:r>
              <w:rPr>
                <w:rFonts w:ascii="Century Gothic" w:hAnsi="Century Gothic" w:cs="Calibri"/>
              </w:rPr>
              <w:t>66,576.74</w:t>
            </w:r>
          </w:p>
        </w:tc>
      </w:tr>
      <w:tr w:rsidR="00527862" w:rsidRPr="009E3580" w14:paraId="2630F113" w14:textId="77777777" w:rsidTr="00DA19EB">
        <w:trPr>
          <w:gridAfter w:val="1"/>
          <w:wAfter w:w="105" w:type="pct"/>
          <w:trHeight w:val="563"/>
        </w:trPr>
        <w:tc>
          <w:tcPr>
            <w:tcW w:w="30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9D34" w14:textId="77777777" w:rsidR="00531E1B" w:rsidRPr="009E3580" w:rsidRDefault="00531E1B" w:rsidP="00531E1B">
            <w:pPr>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Cash Outflows</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2AF87" w14:textId="7B331847" w:rsidR="00531E1B" w:rsidRPr="009E3580" w:rsidRDefault="00531E1B" w:rsidP="00A605C5">
            <w:pPr>
              <w:jc w:val="center"/>
              <w:rPr>
                <w:rFonts w:ascii="Century Gothic" w:hAnsi="Century Gothic" w:cs="Calibri"/>
                <w:b/>
                <w:bCs/>
                <w:sz w:val="20"/>
                <w:szCs w:val="20"/>
                <w:lang w:val="en-IN" w:eastAsia="en-IN" w:bidi="hi-IN"/>
              </w:rPr>
            </w:pPr>
          </w:p>
        </w:tc>
        <w:tc>
          <w:tcPr>
            <w:tcW w:w="881" w:type="pct"/>
            <w:gridSpan w:val="5"/>
            <w:tcBorders>
              <w:top w:val="single" w:sz="8" w:space="0" w:color="auto"/>
              <w:left w:val="single" w:sz="4" w:space="0" w:color="auto"/>
              <w:bottom w:val="single" w:sz="8" w:space="0" w:color="auto"/>
              <w:right w:val="single" w:sz="8" w:space="0" w:color="000000"/>
            </w:tcBorders>
            <w:shd w:val="clear" w:color="auto" w:fill="auto"/>
            <w:vAlign w:val="center"/>
            <w:hideMark/>
          </w:tcPr>
          <w:p w14:paraId="5B74AD80" w14:textId="17DD9D6D" w:rsidR="00531E1B" w:rsidRPr="009E3580" w:rsidRDefault="00531E1B" w:rsidP="00A605C5">
            <w:pPr>
              <w:jc w:val="center"/>
              <w:rPr>
                <w:rFonts w:ascii="Century Gothic" w:hAnsi="Century Gothic" w:cs="Calibri"/>
                <w:b/>
                <w:bCs/>
                <w:sz w:val="20"/>
                <w:szCs w:val="20"/>
                <w:lang w:val="en-IN" w:eastAsia="en-IN" w:bidi="hi-IN"/>
              </w:rPr>
            </w:pPr>
          </w:p>
        </w:tc>
      </w:tr>
      <w:tr w:rsidR="00DA19EB" w:rsidRPr="009E3580" w14:paraId="421D58E6" w14:textId="77777777" w:rsidTr="00DA19EB">
        <w:trPr>
          <w:gridAfter w:val="1"/>
          <w:wAfter w:w="105" w:type="pct"/>
          <w:trHeight w:val="60"/>
        </w:trPr>
        <w:tc>
          <w:tcPr>
            <w:tcW w:w="43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9D3D1F"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2</w:t>
            </w:r>
          </w:p>
        </w:tc>
        <w:tc>
          <w:tcPr>
            <w:tcW w:w="2618" w:type="pct"/>
            <w:tcBorders>
              <w:top w:val="single" w:sz="4" w:space="0" w:color="auto"/>
              <w:left w:val="nil"/>
              <w:bottom w:val="single" w:sz="8" w:space="0" w:color="auto"/>
              <w:right w:val="single" w:sz="8" w:space="0" w:color="auto"/>
            </w:tcBorders>
            <w:shd w:val="clear" w:color="auto" w:fill="auto"/>
            <w:vAlign w:val="center"/>
            <w:hideMark/>
          </w:tcPr>
          <w:p w14:paraId="313E9239"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Retails Deposit and deposits from small business customers, of which</w:t>
            </w:r>
          </w:p>
        </w:tc>
        <w:tc>
          <w:tcPr>
            <w:tcW w:w="966" w:type="pct"/>
            <w:tcBorders>
              <w:top w:val="single" w:sz="4" w:space="0" w:color="auto"/>
              <w:left w:val="nil"/>
              <w:bottom w:val="single" w:sz="8" w:space="0" w:color="auto"/>
              <w:right w:val="single" w:sz="8" w:space="0" w:color="auto"/>
            </w:tcBorders>
            <w:shd w:val="clear" w:color="auto" w:fill="auto"/>
            <w:vAlign w:val="center"/>
            <w:hideMark/>
          </w:tcPr>
          <w:p w14:paraId="487C64E1" w14:textId="4FCB8314"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1,87,398.27</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6736F336" w14:textId="4D70671D"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18,649.82</w:t>
            </w:r>
          </w:p>
        </w:tc>
      </w:tr>
      <w:tr w:rsidR="00DA19EB" w:rsidRPr="009E3580" w14:paraId="115C4FD0" w14:textId="77777777" w:rsidTr="00DA19EB">
        <w:trPr>
          <w:gridAfter w:val="1"/>
          <w:wAfter w:w="105" w:type="pct"/>
          <w:trHeight w:val="555"/>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7AE85A2D"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w:t>
            </w:r>
          </w:p>
        </w:tc>
        <w:tc>
          <w:tcPr>
            <w:tcW w:w="2618" w:type="pct"/>
            <w:tcBorders>
              <w:top w:val="nil"/>
              <w:left w:val="nil"/>
              <w:bottom w:val="single" w:sz="8" w:space="0" w:color="auto"/>
              <w:right w:val="single" w:sz="8" w:space="0" w:color="auto"/>
            </w:tcBorders>
            <w:shd w:val="clear" w:color="auto" w:fill="auto"/>
            <w:vAlign w:val="center"/>
            <w:hideMark/>
          </w:tcPr>
          <w:p w14:paraId="3ED85C65"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Stable Deposit</w:t>
            </w:r>
          </w:p>
        </w:tc>
        <w:tc>
          <w:tcPr>
            <w:tcW w:w="966" w:type="pct"/>
            <w:tcBorders>
              <w:top w:val="nil"/>
              <w:left w:val="nil"/>
              <w:bottom w:val="single" w:sz="8" w:space="0" w:color="auto"/>
              <w:right w:val="single" w:sz="8" w:space="0" w:color="auto"/>
            </w:tcBorders>
            <w:shd w:val="clear" w:color="auto" w:fill="auto"/>
            <w:vAlign w:val="center"/>
            <w:hideMark/>
          </w:tcPr>
          <w:p w14:paraId="0D5D65B0" w14:textId="2003DE32"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1,800.07</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5312BFFE" w14:textId="4F6FEBDF"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90.00</w:t>
            </w:r>
          </w:p>
        </w:tc>
      </w:tr>
      <w:tr w:rsidR="00DA19EB" w:rsidRPr="009E3580" w14:paraId="2D880D7C"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1D6E9E8E"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(ii)</w:t>
            </w:r>
          </w:p>
        </w:tc>
        <w:tc>
          <w:tcPr>
            <w:tcW w:w="2618" w:type="pct"/>
            <w:tcBorders>
              <w:top w:val="nil"/>
              <w:left w:val="nil"/>
              <w:bottom w:val="single" w:sz="8" w:space="0" w:color="auto"/>
              <w:right w:val="single" w:sz="8" w:space="0" w:color="auto"/>
            </w:tcBorders>
            <w:shd w:val="clear" w:color="auto" w:fill="auto"/>
            <w:vAlign w:val="center"/>
            <w:hideMark/>
          </w:tcPr>
          <w:p w14:paraId="37C565B5"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Less Stable Deposit</w:t>
            </w:r>
          </w:p>
        </w:tc>
        <w:tc>
          <w:tcPr>
            <w:tcW w:w="966" w:type="pct"/>
            <w:tcBorders>
              <w:top w:val="nil"/>
              <w:left w:val="nil"/>
              <w:bottom w:val="single" w:sz="8" w:space="0" w:color="auto"/>
              <w:right w:val="single" w:sz="8" w:space="0" w:color="auto"/>
            </w:tcBorders>
            <w:shd w:val="clear" w:color="auto" w:fill="auto"/>
            <w:vAlign w:val="center"/>
            <w:hideMark/>
          </w:tcPr>
          <w:p w14:paraId="2ADBAC78" w14:textId="2C789F1F"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1,85,598.20</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487437A8" w14:textId="2A7D288D"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18,559.82</w:t>
            </w:r>
          </w:p>
        </w:tc>
      </w:tr>
      <w:tr w:rsidR="00DA19EB" w:rsidRPr="009E3580" w14:paraId="2021F6F4"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577A25A3"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3</w:t>
            </w:r>
          </w:p>
        </w:tc>
        <w:tc>
          <w:tcPr>
            <w:tcW w:w="2618" w:type="pct"/>
            <w:tcBorders>
              <w:top w:val="nil"/>
              <w:left w:val="nil"/>
              <w:bottom w:val="single" w:sz="8" w:space="0" w:color="auto"/>
              <w:right w:val="single" w:sz="8" w:space="0" w:color="auto"/>
            </w:tcBorders>
            <w:shd w:val="clear" w:color="auto" w:fill="auto"/>
            <w:vAlign w:val="center"/>
            <w:hideMark/>
          </w:tcPr>
          <w:p w14:paraId="0402C505" w14:textId="77777777" w:rsidR="00DA19EB" w:rsidRPr="009E3580" w:rsidRDefault="00DA19EB"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Unsecured Wholesale Funding, of which</w:t>
            </w:r>
          </w:p>
        </w:tc>
        <w:tc>
          <w:tcPr>
            <w:tcW w:w="966" w:type="pct"/>
            <w:tcBorders>
              <w:top w:val="nil"/>
              <w:left w:val="nil"/>
              <w:bottom w:val="single" w:sz="8" w:space="0" w:color="auto"/>
              <w:right w:val="single" w:sz="8" w:space="0" w:color="auto"/>
            </w:tcBorders>
            <w:shd w:val="clear" w:color="auto" w:fill="auto"/>
            <w:vAlign w:val="center"/>
            <w:hideMark/>
          </w:tcPr>
          <w:p w14:paraId="794D0C62" w14:textId="1B959893"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82,163.88</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1BE0F4F4" w14:textId="550B00F7" w:rsidR="00DA19EB" w:rsidRPr="000856AD" w:rsidRDefault="00DA19EB" w:rsidP="00A605C5">
            <w:pPr>
              <w:jc w:val="center"/>
              <w:rPr>
                <w:rFonts w:ascii="Century Gothic" w:hAnsi="Century Gothic" w:cs="Calibri"/>
                <w:lang w:val="en-IN" w:eastAsia="en-IN" w:bidi="hi-IN"/>
              </w:rPr>
            </w:pPr>
            <w:r>
              <w:rPr>
                <w:rFonts w:ascii="Century Gothic" w:hAnsi="Century Gothic" w:cs="Calibri"/>
                <w:color w:val="000000"/>
              </w:rPr>
              <w:t>33,559.56</w:t>
            </w:r>
          </w:p>
        </w:tc>
      </w:tr>
      <w:tr w:rsidR="000856AD" w:rsidRPr="009E3580" w14:paraId="64B1A040" w14:textId="77777777" w:rsidTr="00DA19EB">
        <w:trPr>
          <w:gridAfter w:val="1"/>
          <w:wAfter w:w="105" w:type="pct"/>
          <w:trHeight w:val="61"/>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520BBEF7"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w:t>
            </w:r>
          </w:p>
        </w:tc>
        <w:tc>
          <w:tcPr>
            <w:tcW w:w="2618" w:type="pct"/>
            <w:tcBorders>
              <w:top w:val="nil"/>
              <w:left w:val="nil"/>
              <w:bottom w:val="single" w:sz="8" w:space="0" w:color="auto"/>
              <w:right w:val="single" w:sz="8" w:space="0" w:color="auto"/>
            </w:tcBorders>
            <w:shd w:val="clear" w:color="auto" w:fill="auto"/>
            <w:vAlign w:val="center"/>
            <w:hideMark/>
          </w:tcPr>
          <w:p w14:paraId="27A9D8C8"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Operational Deposits     ( All Counterparties )</w:t>
            </w:r>
          </w:p>
        </w:tc>
        <w:tc>
          <w:tcPr>
            <w:tcW w:w="966" w:type="pct"/>
            <w:tcBorders>
              <w:top w:val="nil"/>
              <w:left w:val="nil"/>
              <w:bottom w:val="single" w:sz="8" w:space="0" w:color="auto"/>
              <w:right w:val="single" w:sz="8" w:space="0" w:color="auto"/>
            </w:tcBorders>
            <w:shd w:val="clear" w:color="auto" w:fill="auto"/>
            <w:vAlign w:val="center"/>
            <w:hideMark/>
          </w:tcPr>
          <w:p w14:paraId="39EE3C56" w14:textId="719D099A" w:rsidR="000856AD" w:rsidRPr="000856AD" w:rsidRDefault="000856AD" w:rsidP="00A605C5">
            <w:pPr>
              <w:jc w:val="center"/>
              <w:rPr>
                <w:rFonts w:ascii="Century Gothic" w:hAnsi="Century Gothic" w:cs="Calibri"/>
                <w:lang w:val="en-IN" w:eastAsia="en-IN" w:bidi="hi-IN"/>
              </w:rPr>
            </w:pPr>
            <w:r w:rsidRPr="000856AD">
              <w:rPr>
                <w:rFonts w:ascii="Century Gothic" w:hAnsi="Century Gothic" w:cs="Calibri"/>
              </w:rPr>
              <w:t>-</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038D7441" w14:textId="30863B8D" w:rsidR="000856AD" w:rsidRPr="000856AD" w:rsidRDefault="000856AD" w:rsidP="00A605C5">
            <w:pPr>
              <w:jc w:val="center"/>
              <w:rPr>
                <w:rFonts w:ascii="Century Gothic" w:hAnsi="Century Gothic" w:cs="Calibri"/>
                <w:lang w:val="en-IN" w:eastAsia="en-IN" w:bidi="hi-IN"/>
              </w:rPr>
            </w:pPr>
            <w:r w:rsidRPr="000856AD">
              <w:rPr>
                <w:rFonts w:ascii="Century Gothic" w:hAnsi="Century Gothic" w:cs="Calibri"/>
              </w:rPr>
              <w:t>-</w:t>
            </w:r>
          </w:p>
        </w:tc>
      </w:tr>
      <w:tr w:rsidR="000856AD" w:rsidRPr="009E3580" w14:paraId="11EDEFE1"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tcPr>
          <w:p w14:paraId="724E51BD" w14:textId="6316DBA2" w:rsidR="000856AD" w:rsidRPr="009E3580" w:rsidRDefault="000856AD" w:rsidP="00531E1B">
            <w:pPr>
              <w:jc w:val="both"/>
              <w:rPr>
                <w:rFonts w:ascii="Century Gothic" w:hAnsi="Century Gothic" w:cs="Calibri"/>
                <w:sz w:val="20"/>
                <w:szCs w:val="20"/>
                <w:lang w:eastAsia="en-IN" w:bidi="hi-IN"/>
              </w:rPr>
            </w:pPr>
            <w:r w:rsidRPr="009E3580">
              <w:rPr>
                <w:rFonts w:ascii="Century Gothic" w:hAnsi="Century Gothic" w:cs="Calibri"/>
                <w:sz w:val="20"/>
                <w:szCs w:val="20"/>
                <w:lang w:eastAsia="en-IN" w:bidi="hi-IN"/>
              </w:rPr>
              <w:t>(ii)</w:t>
            </w:r>
          </w:p>
        </w:tc>
        <w:tc>
          <w:tcPr>
            <w:tcW w:w="2618" w:type="pct"/>
            <w:tcBorders>
              <w:top w:val="nil"/>
              <w:left w:val="nil"/>
              <w:bottom w:val="single" w:sz="8" w:space="0" w:color="auto"/>
              <w:right w:val="single" w:sz="8" w:space="0" w:color="auto"/>
            </w:tcBorders>
            <w:shd w:val="clear" w:color="auto" w:fill="auto"/>
            <w:vAlign w:val="center"/>
          </w:tcPr>
          <w:p w14:paraId="577936F4"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 xml:space="preserve">Non- Operational Deposits </w:t>
            </w:r>
          </w:p>
          <w:p w14:paraId="41A2BEBD" w14:textId="603E1930" w:rsidR="000856AD" w:rsidRPr="009E3580" w:rsidRDefault="000856AD" w:rsidP="00531E1B">
            <w:pPr>
              <w:jc w:val="both"/>
              <w:rPr>
                <w:rFonts w:ascii="Century Gothic" w:hAnsi="Century Gothic" w:cs="Calibri"/>
                <w:sz w:val="20"/>
                <w:szCs w:val="20"/>
                <w:lang w:eastAsia="en-IN" w:bidi="hi-IN"/>
              </w:rPr>
            </w:pPr>
            <w:r w:rsidRPr="009E3580">
              <w:rPr>
                <w:rFonts w:ascii="Century Gothic" w:hAnsi="Century Gothic" w:cs="Calibri"/>
                <w:sz w:val="20"/>
                <w:szCs w:val="20"/>
                <w:lang w:eastAsia="en-IN" w:bidi="hi-IN"/>
              </w:rPr>
              <w:t>( All Counterparties )</w:t>
            </w:r>
          </w:p>
        </w:tc>
        <w:tc>
          <w:tcPr>
            <w:tcW w:w="966" w:type="pct"/>
            <w:tcBorders>
              <w:top w:val="nil"/>
              <w:left w:val="nil"/>
              <w:bottom w:val="single" w:sz="8" w:space="0" w:color="auto"/>
              <w:right w:val="single" w:sz="8" w:space="0" w:color="auto"/>
            </w:tcBorders>
            <w:shd w:val="clear" w:color="auto" w:fill="auto"/>
            <w:vAlign w:val="center"/>
          </w:tcPr>
          <w:p w14:paraId="1B7C34E6" w14:textId="39D636E6" w:rsidR="000856AD" w:rsidRPr="000856AD" w:rsidRDefault="000856AD" w:rsidP="00D86A07">
            <w:pPr>
              <w:jc w:val="center"/>
              <w:rPr>
                <w:rFonts w:ascii="Century Gothic" w:hAnsi="Century Gothic" w:cs="Calibri"/>
                <w:lang w:eastAsia="en-IN" w:bidi="hi-IN"/>
              </w:rPr>
            </w:pPr>
            <w:r w:rsidRPr="000856AD">
              <w:rPr>
                <w:rFonts w:ascii="Century Gothic" w:hAnsi="Century Gothic" w:cs="Calibri"/>
                <w:color w:val="000000"/>
              </w:rPr>
              <w:t>75,633.02</w:t>
            </w:r>
          </w:p>
        </w:tc>
        <w:tc>
          <w:tcPr>
            <w:tcW w:w="881" w:type="pct"/>
            <w:gridSpan w:val="5"/>
            <w:tcBorders>
              <w:top w:val="single" w:sz="8" w:space="0" w:color="auto"/>
              <w:left w:val="nil"/>
              <w:bottom w:val="single" w:sz="8" w:space="0" w:color="auto"/>
              <w:right w:val="single" w:sz="8" w:space="0" w:color="000000"/>
            </w:tcBorders>
            <w:shd w:val="clear" w:color="auto" w:fill="auto"/>
            <w:vAlign w:val="center"/>
          </w:tcPr>
          <w:p w14:paraId="0706260A" w14:textId="597511F7" w:rsidR="000856AD" w:rsidRPr="000856AD" w:rsidRDefault="000856AD" w:rsidP="00385081">
            <w:pPr>
              <w:jc w:val="center"/>
              <w:rPr>
                <w:rFonts w:ascii="Century Gothic" w:hAnsi="Century Gothic" w:cs="Calibri"/>
                <w:lang w:eastAsia="en-IN" w:bidi="hi-IN"/>
              </w:rPr>
            </w:pPr>
            <w:r w:rsidRPr="000856AD">
              <w:rPr>
                <w:rFonts w:ascii="Century Gothic" w:hAnsi="Century Gothic" w:cs="Calibri"/>
                <w:color w:val="000000"/>
              </w:rPr>
              <w:t>30,616.28</w:t>
            </w:r>
          </w:p>
        </w:tc>
      </w:tr>
      <w:tr w:rsidR="000856AD" w:rsidRPr="009E3580" w14:paraId="2340F4A0"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37224F29"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(iii)</w:t>
            </w:r>
          </w:p>
        </w:tc>
        <w:tc>
          <w:tcPr>
            <w:tcW w:w="2618" w:type="pct"/>
            <w:tcBorders>
              <w:top w:val="nil"/>
              <w:left w:val="nil"/>
              <w:bottom w:val="single" w:sz="8" w:space="0" w:color="auto"/>
              <w:right w:val="single" w:sz="8" w:space="0" w:color="auto"/>
            </w:tcBorders>
            <w:shd w:val="clear" w:color="auto" w:fill="auto"/>
            <w:vAlign w:val="center"/>
            <w:hideMark/>
          </w:tcPr>
          <w:p w14:paraId="3A43A020"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Unsecured Debt</w:t>
            </w:r>
          </w:p>
        </w:tc>
        <w:tc>
          <w:tcPr>
            <w:tcW w:w="966" w:type="pct"/>
            <w:tcBorders>
              <w:top w:val="nil"/>
              <w:left w:val="nil"/>
              <w:bottom w:val="single" w:sz="8" w:space="0" w:color="auto"/>
              <w:right w:val="single" w:sz="8" w:space="0" w:color="auto"/>
            </w:tcBorders>
            <w:shd w:val="clear" w:color="auto" w:fill="auto"/>
            <w:vAlign w:val="center"/>
            <w:hideMark/>
          </w:tcPr>
          <w:p w14:paraId="4F62C95C" w14:textId="7B3F2923" w:rsidR="000856AD" w:rsidRPr="000856AD" w:rsidRDefault="000856AD" w:rsidP="00385D30">
            <w:pPr>
              <w:jc w:val="center"/>
              <w:rPr>
                <w:rFonts w:ascii="Century Gothic" w:hAnsi="Century Gothic" w:cs="Calibri"/>
                <w:lang w:val="en-IN" w:eastAsia="en-IN" w:bidi="hi-IN"/>
              </w:rPr>
            </w:pPr>
            <w:r w:rsidRPr="000856AD">
              <w:rPr>
                <w:rFonts w:ascii="Century Gothic" w:hAnsi="Century Gothic" w:cs="Calibri"/>
              </w:rPr>
              <w:t>-</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1BD3B12E" w14:textId="411A1FF2" w:rsidR="000856AD" w:rsidRPr="000856AD" w:rsidRDefault="000856AD" w:rsidP="00385D30">
            <w:pPr>
              <w:jc w:val="center"/>
              <w:rPr>
                <w:rFonts w:ascii="Century Gothic" w:hAnsi="Century Gothic" w:cs="Calibri"/>
                <w:lang w:val="en-IN" w:eastAsia="en-IN" w:bidi="hi-IN"/>
              </w:rPr>
            </w:pPr>
            <w:r w:rsidRPr="000856AD">
              <w:rPr>
                <w:rFonts w:ascii="Century Gothic" w:hAnsi="Century Gothic" w:cs="Calibri"/>
              </w:rPr>
              <w:t>-</w:t>
            </w:r>
          </w:p>
        </w:tc>
      </w:tr>
      <w:tr w:rsidR="000856AD" w:rsidRPr="009E3580" w14:paraId="61A9392B"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0DF55979"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4</w:t>
            </w:r>
          </w:p>
        </w:tc>
        <w:tc>
          <w:tcPr>
            <w:tcW w:w="2618" w:type="pct"/>
            <w:tcBorders>
              <w:top w:val="nil"/>
              <w:left w:val="nil"/>
              <w:bottom w:val="single" w:sz="8" w:space="0" w:color="auto"/>
              <w:right w:val="single" w:sz="8" w:space="0" w:color="auto"/>
            </w:tcBorders>
            <w:shd w:val="clear" w:color="auto" w:fill="auto"/>
            <w:vAlign w:val="center"/>
            <w:hideMark/>
          </w:tcPr>
          <w:p w14:paraId="1876250A"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Secured Wholesale Funding</w:t>
            </w:r>
          </w:p>
        </w:tc>
        <w:tc>
          <w:tcPr>
            <w:tcW w:w="966" w:type="pct"/>
            <w:tcBorders>
              <w:top w:val="nil"/>
              <w:left w:val="nil"/>
              <w:bottom w:val="single" w:sz="8" w:space="0" w:color="auto"/>
              <w:right w:val="single" w:sz="8" w:space="0" w:color="auto"/>
            </w:tcBorders>
            <w:shd w:val="clear" w:color="000000" w:fill="000000"/>
            <w:vAlign w:val="center"/>
            <w:hideMark/>
          </w:tcPr>
          <w:p w14:paraId="0777BF50" w14:textId="26CC3F40" w:rsidR="000856AD" w:rsidRPr="009E3580" w:rsidRDefault="000856AD" w:rsidP="00385D30">
            <w:pPr>
              <w:jc w:val="center"/>
              <w:rPr>
                <w:rFonts w:ascii="Century Gothic" w:hAnsi="Century Gothic" w:cs="Calibri"/>
                <w:sz w:val="20"/>
                <w:szCs w:val="20"/>
                <w:lang w:val="en-IN" w:eastAsia="en-IN" w:bidi="hi-IN"/>
              </w:rPr>
            </w:pP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17F308E7" w14:textId="0365E703" w:rsidR="000856AD" w:rsidRPr="009E3580" w:rsidRDefault="000856AD" w:rsidP="00385D30">
            <w:pPr>
              <w:jc w:val="center"/>
              <w:rPr>
                <w:rFonts w:ascii="Century Gothic" w:hAnsi="Century Gothic" w:cs="Calibri"/>
                <w:sz w:val="20"/>
                <w:szCs w:val="20"/>
                <w:lang w:val="en-IN" w:eastAsia="en-IN" w:bidi="hi-IN"/>
              </w:rPr>
            </w:pPr>
            <w:r>
              <w:rPr>
                <w:rFonts w:ascii="Century Gothic" w:hAnsi="Century Gothic" w:cs="Calibri"/>
                <w:color w:val="000000"/>
              </w:rPr>
              <w:t>-</w:t>
            </w:r>
          </w:p>
        </w:tc>
      </w:tr>
      <w:tr w:rsidR="00A36543" w:rsidRPr="009E3580" w14:paraId="5BA25ABC" w14:textId="77777777" w:rsidTr="00DA19EB">
        <w:trPr>
          <w:gridAfter w:val="1"/>
          <w:wAfter w:w="105" w:type="pct"/>
          <w:trHeight w:val="141"/>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340309C1" w14:textId="77777777" w:rsidR="00A36543" w:rsidRPr="009E3580" w:rsidRDefault="00A36543"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5</w:t>
            </w:r>
          </w:p>
        </w:tc>
        <w:tc>
          <w:tcPr>
            <w:tcW w:w="2618" w:type="pct"/>
            <w:tcBorders>
              <w:top w:val="nil"/>
              <w:left w:val="nil"/>
              <w:bottom w:val="single" w:sz="8" w:space="0" w:color="auto"/>
              <w:right w:val="single" w:sz="8" w:space="0" w:color="auto"/>
            </w:tcBorders>
            <w:shd w:val="clear" w:color="auto" w:fill="auto"/>
            <w:vAlign w:val="center"/>
            <w:hideMark/>
          </w:tcPr>
          <w:p w14:paraId="7399F080" w14:textId="77777777" w:rsidR="00A36543" w:rsidRPr="009E3580" w:rsidRDefault="00A36543"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Additional Requirements, of Which</w:t>
            </w:r>
          </w:p>
        </w:tc>
        <w:tc>
          <w:tcPr>
            <w:tcW w:w="966" w:type="pct"/>
            <w:tcBorders>
              <w:top w:val="nil"/>
              <w:left w:val="nil"/>
              <w:bottom w:val="single" w:sz="8" w:space="0" w:color="auto"/>
              <w:right w:val="single" w:sz="8" w:space="0" w:color="auto"/>
            </w:tcBorders>
            <w:shd w:val="clear" w:color="auto" w:fill="auto"/>
            <w:vAlign w:val="center"/>
            <w:hideMark/>
          </w:tcPr>
          <w:p w14:paraId="73AC51F6" w14:textId="7FB1FD2D" w:rsidR="00A36543" w:rsidRPr="000856AD" w:rsidRDefault="00A36543" w:rsidP="00A36543">
            <w:pPr>
              <w:jc w:val="center"/>
              <w:rPr>
                <w:rFonts w:ascii="Century Gothic" w:hAnsi="Century Gothic" w:cs="Calibri"/>
                <w:lang w:val="en-IN" w:eastAsia="en-IN" w:bidi="hi-IN"/>
              </w:rPr>
            </w:pPr>
            <w:r>
              <w:rPr>
                <w:rFonts w:ascii="Century Gothic" w:hAnsi="Century Gothic" w:cs="Calibri"/>
                <w:color w:val="000000"/>
              </w:rPr>
              <w:t>33,101.49</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34D14720" w14:textId="6A4AA97F" w:rsidR="00A36543" w:rsidRPr="000856AD" w:rsidRDefault="00A36543" w:rsidP="00A36543">
            <w:pPr>
              <w:jc w:val="center"/>
              <w:rPr>
                <w:rFonts w:ascii="Century Gothic" w:hAnsi="Century Gothic" w:cs="Calibri"/>
                <w:lang w:val="en-IN" w:eastAsia="en-IN" w:bidi="hi-IN"/>
              </w:rPr>
            </w:pPr>
            <w:r>
              <w:rPr>
                <w:rFonts w:ascii="Century Gothic" w:hAnsi="Century Gothic" w:cs="Calibri"/>
                <w:color w:val="000000"/>
              </w:rPr>
              <w:t>5,358.10</w:t>
            </w:r>
          </w:p>
        </w:tc>
      </w:tr>
      <w:tr w:rsidR="00A36543" w:rsidRPr="009E3580" w14:paraId="0FA61633" w14:textId="77777777" w:rsidTr="00DA19EB">
        <w:trPr>
          <w:gridAfter w:val="1"/>
          <w:wAfter w:w="105" w:type="pct"/>
          <w:trHeight w:val="126"/>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7E7FBC67" w14:textId="77777777" w:rsidR="00A36543" w:rsidRPr="009E3580" w:rsidRDefault="00A36543"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w:t>
            </w:r>
          </w:p>
        </w:tc>
        <w:tc>
          <w:tcPr>
            <w:tcW w:w="2618" w:type="pct"/>
            <w:tcBorders>
              <w:top w:val="nil"/>
              <w:left w:val="nil"/>
              <w:bottom w:val="single" w:sz="8" w:space="0" w:color="auto"/>
              <w:right w:val="single" w:sz="8" w:space="0" w:color="auto"/>
            </w:tcBorders>
            <w:shd w:val="clear" w:color="auto" w:fill="auto"/>
            <w:vAlign w:val="center"/>
            <w:hideMark/>
          </w:tcPr>
          <w:p w14:paraId="056BC105" w14:textId="77777777" w:rsidR="00A36543" w:rsidRPr="009E3580" w:rsidRDefault="00A36543"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Outflows related to derivative exposures and other Collateral Requirements</w:t>
            </w:r>
          </w:p>
        </w:tc>
        <w:tc>
          <w:tcPr>
            <w:tcW w:w="966" w:type="pct"/>
            <w:tcBorders>
              <w:top w:val="nil"/>
              <w:left w:val="nil"/>
              <w:bottom w:val="single" w:sz="8" w:space="0" w:color="auto"/>
              <w:right w:val="single" w:sz="8" w:space="0" w:color="auto"/>
            </w:tcBorders>
            <w:shd w:val="clear" w:color="auto" w:fill="auto"/>
            <w:vAlign w:val="center"/>
            <w:hideMark/>
          </w:tcPr>
          <w:p w14:paraId="11D88B33" w14:textId="5E81D49B" w:rsidR="00A36543" w:rsidRPr="00ED0CDE" w:rsidRDefault="00A36543" w:rsidP="00A36543">
            <w:pPr>
              <w:jc w:val="center"/>
              <w:rPr>
                <w:rFonts w:ascii="Century Gothic" w:hAnsi="Century Gothic" w:cs="Calibri"/>
                <w:lang w:val="en-IN" w:eastAsia="en-IN" w:bidi="hi-IN"/>
              </w:rPr>
            </w:pPr>
            <w:r>
              <w:rPr>
                <w:rFonts w:ascii="Century Gothic" w:hAnsi="Century Gothic" w:cs="Calibri"/>
                <w:color w:val="000000"/>
              </w:rPr>
              <w:t>1,676.06</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3B60E7B6" w14:textId="35C63885" w:rsidR="00A36543" w:rsidRPr="00ED0CDE" w:rsidRDefault="00A36543" w:rsidP="00A36543">
            <w:pPr>
              <w:jc w:val="center"/>
              <w:rPr>
                <w:rFonts w:ascii="Century Gothic" w:hAnsi="Century Gothic" w:cs="Calibri"/>
                <w:lang w:val="en-IN" w:eastAsia="en-IN" w:bidi="hi-IN"/>
              </w:rPr>
            </w:pPr>
            <w:r>
              <w:rPr>
                <w:rFonts w:ascii="Century Gothic" w:hAnsi="Century Gothic" w:cs="Calibri"/>
                <w:color w:val="000000"/>
              </w:rPr>
              <w:t>1,676.06</w:t>
            </w:r>
          </w:p>
        </w:tc>
      </w:tr>
      <w:tr w:rsidR="00ED0CDE" w:rsidRPr="009E3580" w14:paraId="4BD7A3AD" w14:textId="77777777" w:rsidTr="00DA19EB">
        <w:trPr>
          <w:gridAfter w:val="1"/>
          <w:wAfter w:w="105" w:type="pct"/>
          <w:trHeight w:val="19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71AE5746" w14:textId="77777777" w:rsidR="00ED0CDE" w:rsidRPr="009E3580" w:rsidRDefault="00ED0CDE"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(ii)</w:t>
            </w:r>
          </w:p>
        </w:tc>
        <w:tc>
          <w:tcPr>
            <w:tcW w:w="2618" w:type="pct"/>
            <w:tcBorders>
              <w:top w:val="nil"/>
              <w:left w:val="nil"/>
              <w:bottom w:val="single" w:sz="8" w:space="0" w:color="auto"/>
              <w:right w:val="single" w:sz="8" w:space="0" w:color="auto"/>
            </w:tcBorders>
            <w:shd w:val="clear" w:color="auto" w:fill="auto"/>
            <w:vAlign w:val="center"/>
            <w:hideMark/>
          </w:tcPr>
          <w:p w14:paraId="485713D6" w14:textId="77777777" w:rsidR="00ED0CDE" w:rsidRPr="009E3580" w:rsidRDefault="00ED0CDE"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Outflows related to loss of funding on debt Products</w:t>
            </w:r>
          </w:p>
        </w:tc>
        <w:tc>
          <w:tcPr>
            <w:tcW w:w="966" w:type="pct"/>
            <w:tcBorders>
              <w:top w:val="nil"/>
              <w:left w:val="nil"/>
              <w:bottom w:val="single" w:sz="8" w:space="0" w:color="auto"/>
              <w:right w:val="single" w:sz="8" w:space="0" w:color="auto"/>
            </w:tcBorders>
            <w:shd w:val="clear" w:color="auto" w:fill="auto"/>
            <w:vAlign w:val="center"/>
            <w:hideMark/>
          </w:tcPr>
          <w:p w14:paraId="4FA0D8E0" w14:textId="2B418759" w:rsidR="00ED0CDE" w:rsidRPr="00ED0CDE" w:rsidRDefault="00ED0CDE" w:rsidP="00D86A07">
            <w:pPr>
              <w:jc w:val="center"/>
              <w:rPr>
                <w:rFonts w:ascii="Century Gothic" w:hAnsi="Century Gothic" w:cs="Calibri"/>
                <w:lang w:val="en-IN" w:eastAsia="en-IN" w:bidi="hi-IN"/>
              </w:rPr>
            </w:pPr>
            <w:r w:rsidRPr="00ED0CDE">
              <w:rPr>
                <w:rFonts w:ascii="Century Gothic" w:hAnsi="Century Gothic" w:cs="Calibri"/>
              </w:rPr>
              <w:t>-</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68ACE4EF" w14:textId="0BF23AE0" w:rsidR="00ED0CDE" w:rsidRPr="00ED0CDE" w:rsidRDefault="00ED0CDE" w:rsidP="00D86A07">
            <w:pPr>
              <w:jc w:val="center"/>
              <w:rPr>
                <w:rFonts w:ascii="Century Gothic" w:hAnsi="Century Gothic" w:cs="Calibri"/>
                <w:lang w:val="en-IN" w:eastAsia="en-IN" w:bidi="hi-IN"/>
              </w:rPr>
            </w:pPr>
            <w:r w:rsidRPr="00ED0CDE">
              <w:rPr>
                <w:rFonts w:ascii="Century Gothic" w:hAnsi="Century Gothic" w:cs="Calibri"/>
              </w:rPr>
              <w:t>-</w:t>
            </w:r>
          </w:p>
        </w:tc>
      </w:tr>
      <w:tr w:rsidR="00031BC9" w:rsidRPr="009E3580" w14:paraId="4BC22C2B" w14:textId="77777777" w:rsidTr="00DA19EB">
        <w:trPr>
          <w:gridAfter w:val="1"/>
          <w:wAfter w:w="105" w:type="pct"/>
          <w:trHeight w:val="152"/>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2AAF118B" w14:textId="77777777" w:rsidR="00031BC9" w:rsidRPr="009E3580" w:rsidRDefault="00031BC9"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(iii)</w:t>
            </w:r>
          </w:p>
        </w:tc>
        <w:tc>
          <w:tcPr>
            <w:tcW w:w="2618" w:type="pct"/>
            <w:tcBorders>
              <w:top w:val="nil"/>
              <w:left w:val="nil"/>
              <w:bottom w:val="single" w:sz="8" w:space="0" w:color="auto"/>
              <w:right w:val="single" w:sz="8" w:space="0" w:color="auto"/>
            </w:tcBorders>
            <w:shd w:val="clear" w:color="auto" w:fill="auto"/>
            <w:vAlign w:val="center"/>
            <w:hideMark/>
          </w:tcPr>
          <w:p w14:paraId="1940D857" w14:textId="77777777" w:rsidR="00031BC9" w:rsidRPr="009E3580" w:rsidRDefault="00031BC9"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Credit and Liquidity facilities</w:t>
            </w:r>
          </w:p>
        </w:tc>
        <w:tc>
          <w:tcPr>
            <w:tcW w:w="966" w:type="pct"/>
            <w:tcBorders>
              <w:top w:val="nil"/>
              <w:left w:val="nil"/>
              <w:bottom w:val="single" w:sz="8" w:space="0" w:color="auto"/>
              <w:right w:val="single" w:sz="8" w:space="0" w:color="auto"/>
            </w:tcBorders>
            <w:shd w:val="clear" w:color="auto" w:fill="auto"/>
            <w:vAlign w:val="center"/>
            <w:hideMark/>
          </w:tcPr>
          <w:p w14:paraId="67B84916" w14:textId="3B5D3CC4" w:rsidR="00031BC9" w:rsidRPr="00ED0CDE" w:rsidRDefault="00031BC9" w:rsidP="00031BC9">
            <w:pPr>
              <w:jc w:val="center"/>
              <w:rPr>
                <w:rFonts w:ascii="Century Gothic" w:hAnsi="Century Gothic" w:cs="Calibri"/>
                <w:lang w:val="en-IN" w:eastAsia="en-IN" w:bidi="hi-IN"/>
              </w:rPr>
            </w:pPr>
            <w:r>
              <w:rPr>
                <w:rFonts w:ascii="Century Gothic" w:hAnsi="Century Gothic" w:cs="Calibri"/>
                <w:color w:val="000000"/>
              </w:rPr>
              <w:t>35,724.95</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23D8B5C6" w14:textId="02F10E90" w:rsidR="00031BC9" w:rsidRPr="00ED0CDE" w:rsidRDefault="00031BC9" w:rsidP="00031BC9">
            <w:pPr>
              <w:jc w:val="center"/>
              <w:rPr>
                <w:rFonts w:ascii="Century Gothic" w:hAnsi="Century Gothic" w:cs="Calibri"/>
                <w:lang w:val="en-IN" w:eastAsia="en-IN" w:bidi="hi-IN"/>
              </w:rPr>
            </w:pPr>
            <w:r>
              <w:rPr>
                <w:rFonts w:ascii="Century Gothic" w:hAnsi="Century Gothic" w:cs="Calibri"/>
                <w:color w:val="000000"/>
              </w:rPr>
              <w:t>4,111.98</w:t>
            </w:r>
          </w:p>
        </w:tc>
      </w:tr>
      <w:tr w:rsidR="00031BC9" w:rsidRPr="009E3580" w14:paraId="654A3D77"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73255325" w14:textId="77777777" w:rsidR="00031BC9" w:rsidRPr="009E3580" w:rsidRDefault="00031BC9"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6</w:t>
            </w:r>
          </w:p>
        </w:tc>
        <w:tc>
          <w:tcPr>
            <w:tcW w:w="2618" w:type="pct"/>
            <w:tcBorders>
              <w:top w:val="nil"/>
              <w:left w:val="nil"/>
              <w:bottom w:val="single" w:sz="8" w:space="0" w:color="auto"/>
              <w:right w:val="single" w:sz="8" w:space="0" w:color="auto"/>
            </w:tcBorders>
            <w:shd w:val="clear" w:color="auto" w:fill="auto"/>
            <w:vAlign w:val="center"/>
            <w:hideMark/>
          </w:tcPr>
          <w:p w14:paraId="79F3B75C" w14:textId="77777777" w:rsidR="00031BC9" w:rsidRPr="009E3580" w:rsidRDefault="00031BC9"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Other Contractual funding Obligations</w:t>
            </w:r>
          </w:p>
        </w:tc>
        <w:tc>
          <w:tcPr>
            <w:tcW w:w="966" w:type="pct"/>
            <w:tcBorders>
              <w:top w:val="nil"/>
              <w:left w:val="nil"/>
              <w:bottom w:val="single" w:sz="8" w:space="0" w:color="auto"/>
              <w:right w:val="single" w:sz="8" w:space="0" w:color="auto"/>
            </w:tcBorders>
            <w:shd w:val="clear" w:color="auto" w:fill="auto"/>
            <w:vAlign w:val="center"/>
            <w:hideMark/>
          </w:tcPr>
          <w:p w14:paraId="15CE4D78" w14:textId="44EE29A1" w:rsidR="00031BC9" w:rsidRPr="00ED0CDE" w:rsidRDefault="00031BC9" w:rsidP="00031BC9">
            <w:pPr>
              <w:jc w:val="center"/>
              <w:rPr>
                <w:rFonts w:ascii="Century Gothic" w:hAnsi="Century Gothic" w:cs="Calibri"/>
                <w:lang w:val="en-IN" w:eastAsia="en-IN" w:bidi="hi-IN"/>
              </w:rPr>
            </w:pPr>
            <w:r>
              <w:rPr>
                <w:rFonts w:ascii="Century Gothic" w:hAnsi="Century Gothic" w:cs="Calibri"/>
                <w:color w:val="000000"/>
              </w:rPr>
              <w:t>1,632.75</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267EB09D" w14:textId="7FBFCD7E" w:rsidR="00031BC9" w:rsidRPr="00ED0CDE" w:rsidRDefault="00031BC9" w:rsidP="00031BC9">
            <w:pPr>
              <w:jc w:val="center"/>
              <w:rPr>
                <w:rFonts w:ascii="Century Gothic" w:hAnsi="Century Gothic" w:cs="Calibri"/>
                <w:lang w:val="en-IN" w:eastAsia="en-IN" w:bidi="hi-IN"/>
              </w:rPr>
            </w:pPr>
            <w:r>
              <w:rPr>
                <w:rFonts w:ascii="Century Gothic" w:hAnsi="Century Gothic" w:cs="Calibri"/>
                <w:color w:val="000000"/>
              </w:rPr>
              <w:t>1,632.75</w:t>
            </w:r>
          </w:p>
        </w:tc>
      </w:tr>
      <w:tr w:rsidR="00031BC9" w:rsidRPr="009E3580" w14:paraId="4F57A39C" w14:textId="77777777" w:rsidTr="00DA19EB">
        <w:trPr>
          <w:gridAfter w:val="1"/>
          <w:wAfter w:w="105" w:type="pct"/>
          <w:trHeight w:val="60"/>
        </w:trPr>
        <w:tc>
          <w:tcPr>
            <w:tcW w:w="430" w:type="pct"/>
            <w:tcBorders>
              <w:top w:val="nil"/>
              <w:left w:val="single" w:sz="8" w:space="0" w:color="auto"/>
              <w:bottom w:val="single" w:sz="4" w:space="0" w:color="auto"/>
              <w:right w:val="single" w:sz="8" w:space="0" w:color="auto"/>
            </w:tcBorders>
            <w:shd w:val="clear" w:color="auto" w:fill="auto"/>
            <w:noWrap/>
            <w:vAlign w:val="center"/>
            <w:hideMark/>
          </w:tcPr>
          <w:p w14:paraId="6C24F48A" w14:textId="77777777" w:rsidR="00031BC9" w:rsidRPr="009E3580" w:rsidRDefault="00031BC9"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7</w:t>
            </w:r>
          </w:p>
        </w:tc>
        <w:tc>
          <w:tcPr>
            <w:tcW w:w="2618" w:type="pct"/>
            <w:tcBorders>
              <w:top w:val="nil"/>
              <w:left w:val="nil"/>
              <w:bottom w:val="single" w:sz="4" w:space="0" w:color="auto"/>
              <w:right w:val="single" w:sz="8" w:space="0" w:color="auto"/>
            </w:tcBorders>
            <w:shd w:val="clear" w:color="auto" w:fill="auto"/>
            <w:vAlign w:val="center"/>
            <w:hideMark/>
          </w:tcPr>
          <w:p w14:paraId="60C64B11" w14:textId="77777777" w:rsidR="00031BC9" w:rsidRPr="009E3580" w:rsidRDefault="00031BC9"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Other Contingent Funding Obligations</w:t>
            </w:r>
          </w:p>
        </w:tc>
        <w:tc>
          <w:tcPr>
            <w:tcW w:w="966" w:type="pct"/>
            <w:tcBorders>
              <w:top w:val="nil"/>
              <w:left w:val="nil"/>
              <w:bottom w:val="single" w:sz="4" w:space="0" w:color="auto"/>
              <w:right w:val="single" w:sz="8" w:space="0" w:color="auto"/>
            </w:tcBorders>
            <w:shd w:val="clear" w:color="auto" w:fill="auto"/>
            <w:vAlign w:val="center"/>
            <w:hideMark/>
          </w:tcPr>
          <w:p w14:paraId="323AAB76" w14:textId="099177DA" w:rsidR="00031BC9" w:rsidRPr="00ED0CDE" w:rsidRDefault="00031BC9" w:rsidP="00031BC9">
            <w:pPr>
              <w:jc w:val="center"/>
              <w:rPr>
                <w:rFonts w:ascii="Century Gothic" w:hAnsi="Century Gothic" w:cs="Calibri"/>
                <w:lang w:val="en-IN" w:eastAsia="en-IN" w:bidi="hi-IN"/>
              </w:rPr>
            </w:pPr>
            <w:r>
              <w:rPr>
                <w:rFonts w:ascii="Century Gothic" w:hAnsi="Century Gothic" w:cs="Calibri"/>
                <w:color w:val="000000"/>
              </w:rPr>
              <w:t>13,269.68</w:t>
            </w:r>
          </w:p>
        </w:tc>
        <w:tc>
          <w:tcPr>
            <w:tcW w:w="881" w:type="pct"/>
            <w:gridSpan w:val="5"/>
            <w:tcBorders>
              <w:top w:val="single" w:sz="8" w:space="0" w:color="auto"/>
              <w:left w:val="nil"/>
              <w:bottom w:val="single" w:sz="4" w:space="0" w:color="auto"/>
              <w:right w:val="single" w:sz="8" w:space="0" w:color="000000"/>
            </w:tcBorders>
            <w:shd w:val="clear" w:color="auto" w:fill="auto"/>
            <w:vAlign w:val="center"/>
            <w:hideMark/>
          </w:tcPr>
          <w:p w14:paraId="0FD09102" w14:textId="2CAFA80F" w:rsidR="00031BC9" w:rsidRPr="00ED0CDE" w:rsidRDefault="00031BC9" w:rsidP="00031BC9">
            <w:pPr>
              <w:jc w:val="center"/>
              <w:rPr>
                <w:rFonts w:ascii="Century Gothic" w:hAnsi="Century Gothic" w:cs="Calibri"/>
                <w:lang w:val="en-IN" w:eastAsia="en-IN" w:bidi="hi-IN"/>
              </w:rPr>
            </w:pPr>
            <w:r>
              <w:rPr>
                <w:rFonts w:ascii="Century Gothic" w:hAnsi="Century Gothic" w:cs="Calibri"/>
                <w:color w:val="000000"/>
              </w:rPr>
              <w:t>398.09</w:t>
            </w:r>
          </w:p>
        </w:tc>
      </w:tr>
      <w:tr w:rsidR="000856AD" w:rsidRPr="009E3580" w14:paraId="5D3953F5" w14:textId="77777777" w:rsidTr="00DA19EB">
        <w:trPr>
          <w:gridAfter w:val="1"/>
          <w:wAfter w:w="105" w:type="pct"/>
          <w:trHeight w:val="450"/>
        </w:trPr>
        <w:tc>
          <w:tcPr>
            <w:tcW w:w="4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861D" w14:textId="77777777" w:rsidR="000856AD" w:rsidRPr="009E3580" w:rsidRDefault="000856AD"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8</w:t>
            </w:r>
          </w:p>
        </w:tc>
        <w:tc>
          <w:tcPr>
            <w:tcW w:w="2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1FCB2" w14:textId="77777777" w:rsidR="000856AD" w:rsidRPr="009E3580" w:rsidRDefault="000856AD"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Total Cash Outflows</w:t>
            </w:r>
          </w:p>
        </w:tc>
        <w:tc>
          <w:tcPr>
            <w:tcW w:w="966"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6DE823BC" w14:textId="77777777" w:rsidR="000856AD" w:rsidRPr="009E3580" w:rsidRDefault="000856AD" w:rsidP="00531E1B">
            <w:pPr>
              <w:jc w:val="center"/>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 </w:t>
            </w:r>
          </w:p>
        </w:tc>
        <w:tc>
          <w:tcPr>
            <w:tcW w:w="88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FD2DD" w14:textId="556B1F81" w:rsidR="000856AD" w:rsidRPr="00ED0CDE" w:rsidRDefault="00A64651" w:rsidP="00FE789A">
            <w:pPr>
              <w:jc w:val="center"/>
              <w:rPr>
                <w:rFonts w:ascii="Century Gothic" w:hAnsi="Century Gothic" w:cs="Calibri"/>
                <w:lang w:val="en-IN" w:eastAsia="en-IN" w:bidi="hi-IN"/>
              </w:rPr>
            </w:pPr>
            <w:r>
              <w:rPr>
                <w:rFonts w:ascii="Century Gothic" w:hAnsi="Century Gothic"/>
                <w:b/>
                <w:bCs/>
              </w:rPr>
              <w:t>60,028.2</w:t>
            </w:r>
            <w:r w:rsidR="00ED0CDE" w:rsidRPr="00ED0CDE">
              <w:rPr>
                <w:rFonts w:ascii="Century Gothic" w:hAnsi="Century Gothic"/>
                <w:b/>
                <w:bCs/>
              </w:rPr>
              <w:t>7</w:t>
            </w:r>
          </w:p>
        </w:tc>
      </w:tr>
      <w:tr w:rsidR="000856AD" w:rsidRPr="009E3580" w14:paraId="5C756509" w14:textId="77777777" w:rsidTr="00DA19EB">
        <w:trPr>
          <w:trHeight w:val="245"/>
        </w:trPr>
        <w:tc>
          <w:tcPr>
            <w:tcW w:w="430" w:type="pct"/>
            <w:vMerge/>
            <w:tcBorders>
              <w:top w:val="single" w:sz="4" w:space="0" w:color="auto"/>
              <w:left w:val="single" w:sz="4" w:space="0" w:color="auto"/>
              <w:bottom w:val="single" w:sz="4" w:space="0" w:color="auto"/>
              <w:right w:val="single" w:sz="4" w:space="0" w:color="auto"/>
            </w:tcBorders>
            <w:vAlign w:val="center"/>
            <w:hideMark/>
          </w:tcPr>
          <w:p w14:paraId="7B56B897" w14:textId="77777777" w:rsidR="000856AD" w:rsidRPr="009E3580" w:rsidRDefault="000856AD" w:rsidP="00531E1B">
            <w:pPr>
              <w:rPr>
                <w:rFonts w:ascii="Century Gothic" w:hAnsi="Century Gothic" w:cs="Calibri"/>
                <w:sz w:val="20"/>
                <w:szCs w:val="20"/>
                <w:lang w:val="en-IN" w:eastAsia="en-IN" w:bidi="hi-IN"/>
              </w:rPr>
            </w:pPr>
          </w:p>
        </w:tc>
        <w:tc>
          <w:tcPr>
            <w:tcW w:w="2618" w:type="pct"/>
            <w:vMerge/>
            <w:tcBorders>
              <w:top w:val="single" w:sz="4" w:space="0" w:color="auto"/>
              <w:left w:val="single" w:sz="4" w:space="0" w:color="auto"/>
              <w:bottom w:val="single" w:sz="4" w:space="0" w:color="auto"/>
              <w:right w:val="single" w:sz="4" w:space="0" w:color="auto"/>
            </w:tcBorders>
            <w:vAlign w:val="center"/>
            <w:hideMark/>
          </w:tcPr>
          <w:p w14:paraId="48F469D9" w14:textId="77777777" w:rsidR="000856AD" w:rsidRPr="009E3580" w:rsidRDefault="000856AD" w:rsidP="00531E1B">
            <w:pPr>
              <w:rPr>
                <w:rFonts w:ascii="Century Gothic" w:hAnsi="Century Gothic" w:cs="Calibri"/>
                <w:b/>
                <w:bCs/>
                <w:sz w:val="20"/>
                <w:szCs w:val="20"/>
                <w:lang w:val="en-IN" w:eastAsia="en-IN" w:bidi="hi-IN"/>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14:paraId="638D805F" w14:textId="77777777" w:rsidR="000856AD" w:rsidRPr="009E3580" w:rsidRDefault="000856AD" w:rsidP="00531E1B">
            <w:pPr>
              <w:rPr>
                <w:rFonts w:ascii="Century Gothic" w:hAnsi="Century Gothic" w:cs="Calibri"/>
                <w:sz w:val="20"/>
                <w:szCs w:val="20"/>
                <w:lang w:val="en-IN" w:eastAsia="en-IN" w:bidi="hi-IN"/>
              </w:rPr>
            </w:pPr>
          </w:p>
        </w:tc>
        <w:tc>
          <w:tcPr>
            <w:tcW w:w="881" w:type="pct"/>
            <w:gridSpan w:val="5"/>
            <w:vMerge/>
            <w:tcBorders>
              <w:top w:val="single" w:sz="4" w:space="0" w:color="auto"/>
              <w:left w:val="single" w:sz="4" w:space="0" w:color="auto"/>
              <w:bottom w:val="single" w:sz="4" w:space="0" w:color="auto"/>
              <w:right w:val="single" w:sz="4" w:space="0" w:color="auto"/>
            </w:tcBorders>
            <w:vAlign w:val="center"/>
            <w:hideMark/>
          </w:tcPr>
          <w:p w14:paraId="4682B4D9" w14:textId="77777777" w:rsidR="000856AD" w:rsidRPr="009E3580" w:rsidRDefault="000856AD" w:rsidP="00531E1B">
            <w:pPr>
              <w:rPr>
                <w:rFonts w:ascii="Century Gothic" w:hAnsi="Century Gothic" w:cs="Calibri"/>
                <w:lang w:val="en-IN" w:eastAsia="en-IN" w:bidi="hi-IN"/>
              </w:rPr>
            </w:pPr>
          </w:p>
        </w:tc>
        <w:tc>
          <w:tcPr>
            <w:tcW w:w="105" w:type="pct"/>
            <w:tcBorders>
              <w:top w:val="nil"/>
              <w:left w:val="single" w:sz="4" w:space="0" w:color="auto"/>
              <w:bottom w:val="nil"/>
              <w:right w:val="nil"/>
            </w:tcBorders>
            <w:vAlign w:val="center"/>
            <w:hideMark/>
          </w:tcPr>
          <w:p w14:paraId="1F60B7BC" w14:textId="77777777" w:rsidR="000856AD" w:rsidRPr="009E3580" w:rsidRDefault="000856AD" w:rsidP="00531E1B">
            <w:pPr>
              <w:rPr>
                <w:rFonts w:ascii="Century Gothic" w:hAnsi="Century Gothic"/>
                <w:lang w:val="en-IN" w:eastAsia="en-IN" w:bidi="hi-IN"/>
              </w:rPr>
            </w:pPr>
          </w:p>
        </w:tc>
      </w:tr>
      <w:tr w:rsidR="000856AD" w:rsidRPr="009E3580" w14:paraId="2B7C55E6" w14:textId="77777777" w:rsidTr="00DA19EB">
        <w:trPr>
          <w:gridAfter w:val="1"/>
          <w:wAfter w:w="105" w:type="pct"/>
          <w:trHeight w:val="330"/>
        </w:trPr>
        <w:tc>
          <w:tcPr>
            <w:tcW w:w="30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FDE3" w14:textId="77777777" w:rsidR="000856AD" w:rsidRPr="009E3580" w:rsidRDefault="000856AD"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Cash Inflows</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5AB5B" w14:textId="77777777" w:rsidR="000856AD" w:rsidRPr="009E3580" w:rsidRDefault="000856AD" w:rsidP="00531E1B">
            <w:pPr>
              <w:jc w:val="right"/>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 </w:t>
            </w:r>
          </w:p>
        </w:tc>
        <w:tc>
          <w:tcPr>
            <w:tcW w:w="88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6B9D3F" w14:textId="77777777" w:rsidR="000856AD" w:rsidRPr="009E3580" w:rsidRDefault="000856AD" w:rsidP="00531E1B">
            <w:pPr>
              <w:jc w:val="right"/>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 </w:t>
            </w:r>
          </w:p>
        </w:tc>
      </w:tr>
      <w:tr w:rsidR="00CF7EF2" w:rsidRPr="009E3580" w14:paraId="592709E3" w14:textId="77777777" w:rsidTr="00DA19EB">
        <w:trPr>
          <w:gridAfter w:val="1"/>
          <w:wAfter w:w="105" w:type="pct"/>
          <w:trHeight w:val="60"/>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081F2" w14:textId="51EC394D" w:rsidR="00CF7EF2" w:rsidRPr="009E3580" w:rsidRDefault="00CF7EF2" w:rsidP="00531E1B">
            <w:pPr>
              <w:jc w:val="both"/>
              <w:rPr>
                <w:rFonts w:ascii="Century Gothic" w:hAnsi="Century Gothic" w:cs="Calibri"/>
                <w:sz w:val="20"/>
                <w:szCs w:val="20"/>
                <w:lang w:eastAsia="en-IN" w:bidi="hi-IN"/>
              </w:rPr>
            </w:pPr>
            <w:r w:rsidRPr="009E3580">
              <w:rPr>
                <w:rFonts w:ascii="Century Gothic" w:hAnsi="Century Gothic" w:cs="Calibri"/>
                <w:sz w:val="20"/>
                <w:szCs w:val="20"/>
                <w:lang w:eastAsia="en-IN" w:bidi="hi-IN"/>
              </w:rPr>
              <w:t>9</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43788B3B" w14:textId="77777777" w:rsidR="00CF7EF2" w:rsidRPr="009E3580" w:rsidRDefault="00CF7EF2" w:rsidP="0022624A">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Secured Lending</w:t>
            </w:r>
          </w:p>
          <w:p w14:paraId="1C7606BE" w14:textId="02821CDF" w:rsidR="00CF7EF2" w:rsidRPr="009E3580" w:rsidRDefault="00CF7EF2" w:rsidP="0022624A">
            <w:pPr>
              <w:jc w:val="both"/>
              <w:rPr>
                <w:rFonts w:ascii="Century Gothic" w:hAnsi="Century Gothic" w:cs="Calibri"/>
                <w:sz w:val="20"/>
                <w:szCs w:val="20"/>
                <w:lang w:eastAsia="en-IN" w:bidi="hi-IN"/>
              </w:rPr>
            </w:pPr>
            <w:r w:rsidRPr="009E3580">
              <w:rPr>
                <w:rFonts w:ascii="Century Gothic" w:hAnsi="Century Gothic" w:cs="Calibri"/>
                <w:sz w:val="20"/>
                <w:szCs w:val="20"/>
                <w:lang w:eastAsia="en-IN" w:bidi="hi-IN"/>
              </w:rPr>
              <w:t>(</w:t>
            </w:r>
            <w:proofErr w:type="spellStart"/>
            <w:proofErr w:type="gramStart"/>
            <w:r w:rsidRPr="009E3580">
              <w:rPr>
                <w:rFonts w:ascii="Century Gothic" w:hAnsi="Century Gothic" w:cs="Calibri"/>
                <w:sz w:val="20"/>
                <w:szCs w:val="20"/>
                <w:lang w:eastAsia="en-IN" w:bidi="hi-IN"/>
              </w:rPr>
              <w:t>eg</w:t>
            </w:r>
            <w:proofErr w:type="spellEnd"/>
            <w:proofErr w:type="gramEnd"/>
            <w:r w:rsidRPr="009E3580">
              <w:rPr>
                <w:rFonts w:ascii="Century Gothic" w:hAnsi="Century Gothic" w:cs="Calibri"/>
                <w:sz w:val="20"/>
                <w:szCs w:val="20"/>
                <w:lang w:eastAsia="en-IN" w:bidi="hi-IN"/>
              </w:rPr>
              <w:t>. Reverse Repos )</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76ED7B17" w14:textId="2B4A7312" w:rsidR="00CF7EF2" w:rsidRPr="00CF7EF2" w:rsidRDefault="00017E91" w:rsidP="00147321">
            <w:pPr>
              <w:jc w:val="center"/>
              <w:rPr>
                <w:rFonts w:ascii="Century Gothic" w:hAnsi="Century Gothic" w:cs="Calibri"/>
                <w:color w:val="000000"/>
              </w:rPr>
            </w:pPr>
            <w:r>
              <w:rPr>
                <w:rFonts w:ascii="Century Gothic" w:hAnsi="Century Gothic" w:cs="Calibri"/>
              </w:rPr>
              <w:t>-</w:t>
            </w:r>
          </w:p>
        </w:tc>
        <w:tc>
          <w:tcPr>
            <w:tcW w:w="88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9819EB" w14:textId="7DFEB7C3" w:rsidR="00CF7EF2" w:rsidRPr="00CF7EF2" w:rsidRDefault="00017E91" w:rsidP="00091E78">
            <w:pPr>
              <w:jc w:val="center"/>
              <w:rPr>
                <w:rFonts w:ascii="Century Gothic" w:hAnsi="Century Gothic" w:cs="Calibri"/>
                <w:color w:val="000000"/>
              </w:rPr>
            </w:pPr>
            <w:r>
              <w:rPr>
                <w:rFonts w:ascii="Century Gothic" w:hAnsi="Century Gothic" w:cs="Calibri"/>
              </w:rPr>
              <w:t>-</w:t>
            </w:r>
          </w:p>
        </w:tc>
      </w:tr>
      <w:tr w:rsidR="007F2961" w:rsidRPr="009E3580" w14:paraId="0147AFD5" w14:textId="77777777" w:rsidTr="007F2961">
        <w:trPr>
          <w:gridAfter w:val="1"/>
          <w:wAfter w:w="105" w:type="pct"/>
          <w:trHeight w:val="60"/>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2FD5" w14:textId="77777777" w:rsidR="007F2961" w:rsidRPr="009E3580" w:rsidRDefault="007F2961"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10</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2D66B" w14:textId="77777777" w:rsidR="007F2961" w:rsidRPr="009E3580" w:rsidRDefault="007F2961"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Inflows from Fully Performing Exposures</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8B11F" w14:textId="05801490" w:rsidR="007F2961" w:rsidRPr="00CF7EF2" w:rsidRDefault="007F2961" w:rsidP="007F2961">
            <w:pPr>
              <w:jc w:val="center"/>
              <w:rPr>
                <w:rFonts w:ascii="Century Gothic" w:hAnsi="Century Gothic" w:cs="Calibri"/>
                <w:color w:val="000000"/>
              </w:rPr>
            </w:pPr>
            <w:r>
              <w:rPr>
                <w:rFonts w:ascii="Century Gothic" w:hAnsi="Century Gothic" w:cs="Calibri"/>
                <w:color w:val="000000"/>
              </w:rPr>
              <w:t>7,875.25</w:t>
            </w:r>
          </w:p>
        </w:tc>
        <w:tc>
          <w:tcPr>
            <w:tcW w:w="88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FBB78" w14:textId="57323070" w:rsidR="007F2961" w:rsidRPr="00CF7EF2" w:rsidRDefault="007F2961" w:rsidP="007F2961">
            <w:pPr>
              <w:jc w:val="center"/>
              <w:rPr>
                <w:rFonts w:ascii="Century Gothic" w:hAnsi="Century Gothic" w:cs="Calibri"/>
                <w:color w:val="000000"/>
              </w:rPr>
            </w:pPr>
            <w:r>
              <w:rPr>
                <w:rFonts w:ascii="Century Gothic" w:hAnsi="Century Gothic" w:cs="Calibri"/>
                <w:color w:val="000000"/>
              </w:rPr>
              <w:t>6,828.07</w:t>
            </w:r>
          </w:p>
        </w:tc>
      </w:tr>
      <w:tr w:rsidR="007F2961" w:rsidRPr="009E3580" w14:paraId="15BBBDD8" w14:textId="77777777" w:rsidTr="007F2961">
        <w:trPr>
          <w:gridAfter w:val="1"/>
          <w:wAfter w:w="105" w:type="pct"/>
          <w:trHeight w:val="60"/>
        </w:trPr>
        <w:tc>
          <w:tcPr>
            <w:tcW w:w="43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312B90" w14:textId="77777777" w:rsidR="007F2961" w:rsidRPr="009E3580" w:rsidRDefault="007F2961"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11</w:t>
            </w:r>
          </w:p>
        </w:tc>
        <w:tc>
          <w:tcPr>
            <w:tcW w:w="2618" w:type="pct"/>
            <w:tcBorders>
              <w:top w:val="single" w:sz="4" w:space="0" w:color="auto"/>
              <w:left w:val="nil"/>
              <w:bottom w:val="single" w:sz="8" w:space="0" w:color="auto"/>
              <w:right w:val="single" w:sz="8" w:space="0" w:color="auto"/>
            </w:tcBorders>
            <w:shd w:val="clear" w:color="auto" w:fill="auto"/>
            <w:vAlign w:val="center"/>
            <w:hideMark/>
          </w:tcPr>
          <w:p w14:paraId="1760FB19" w14:textId="77777777" w:rsidR="007F2961" w:rsidRPr="009E3580" w:rsidRDefault="007F2961"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Other Cash inflows</w:t>
            </w:r>
          </w:p>
        </w:tc>
        <w:tc>
          <w:tcPr>
            <w:tcW w:w="966" w:type="pct"/>
            <w:tcBorders>
              <w:top w:val="single" w:sz="4" w:space="0" w:color="auto"/>
              <w:left w:val="nil"/>
              <w:bottom w:val="single" w:sz="8" w:space="0" w:color="auto"/>
              <w:right w:val="single" w:sz="8" w:space="0" w:color="auto"/>
            </w:tcBorders>
            <w:shd w:val="clear" w:color="auto" w:fill="auto"/>
            <w:vAlign w:val="center"/>
            <w:hideMark/>
          </w:tcPr>
          <w:p w14:paraId="7E8DAD78" w14:textId="2E38DD2F" w:rsidR="007F2961" w:rsidRPr="00CF7EF2" w:rsidRDefault="007F2961" w:rsidP="007F2961">
            <w:pPr>
              <w:jc w:val="center"/>
              <w:rPr>
                <w:rFonts w:ascii="Century Gothic" w:hAnsi="Century Gothic" w:cs="Calibri"/>
                <w:color w:val="000000"/>
              </w:rPr>
            </w:pPr>
            <w:r>
              <w:rPr>
                <w:rFonts w:ascii="Century Gothic" w:hAnsi="Century Gothic" w:cs="Calibri"/>
                <w:color w:val="000000"/>
              </w:rPr>
              <w:t>331.33</w:t>
            </w:r>
          </w:p>
        </w:tc>
        <w:tc>
          <w:tcPr>
            <w:tcW w:w="881" w:type="pct"/>
            <w:gridSpan w:val="5"/>
            <w:tcBorders>
              <w:top w:val="single" w:sz="4" w:space="0" w:color="auto"/>
              <w:left w:val="nil"/>
              <w:bottom w:val="single" w:sz="8" w:space="0" w:color="auto"/>
              <w:right w:val="single" w:sz="8" w:space="0" w:color="000000"/>
            </w:tcBorders>
            <w:shd w:val="clear" w:color="auto" w:fill="auto"/>
            <w:vAlign w:val="center"/>
            <w:hideMark/>
          </w:tcPr>
          <w:p w14:paraId="1C44C810" w14:textId="0A61661A" w:rsidR="007F2961" w:rsidRPr="00CF7EF2" w:rsidRDefault="007F2961" w:rsidP="007F2961">
            <w:pPr>
              <w:jc w:val="center"/>
              <w:rPr>
                <w:rFonts w:ascii="Century Gothic" w:hAnsi="Century Gothic" w:cs="Calibri"/>
                <w:color w:val="000000"/>
              </w:rPr>
            </w:pPr>
            <w:r>
              <w:rPr>
                <w:rFonts w:ascii="Century Gothic" w:hAnsi="Century Gothic" w:cs="Calibri"/>
                <w:color w:val="000000"/>
              </w:rPr>
              <w:t>327.42</w:t>
            </w:r>
          </w:p>
        </w:tc>
      </w:tr>
      <w:tr w:rsidR="007F2961" w:rsidRPr="009E3580" w14:paraId="060C38D2" w14:textId="77777777" w:rsidTr="007F2961">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5E6ECB81" w14:textId="77777777" w:rsidR="007F2961" w:rsidRPr="009E3580" w:rsidRDefault="007F2961"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12</w:t>
            </w:r>
          </w:p>
        </w:tc>
        <w:tc>
          <w:tcPr>
            <w:tcW w:w="2618" w:type="pct"/>
            <w:tcBorders>
              <w:top w:val="nil"/>
              <w:left w:val="nil"/>
              <w:bottom w:val="single" w:sz="8" w:space="0" w:color="auto"/>
              <w:right w:val="single" w:sz="8" w:space="0" w:color="auto"/>
            </w:tcBorders>
            <w:shd w:val="clear" w:color="auto" w:fill="auto"/>
            <w:vAlign w:val="center"/>
            <w:hideMark/>
          </w:tcPr>
          <w:p w14:paraId="5B81EB01" w14:textId="77777777" w:rsidR="007F2961" w:rsidRPr="009E3580" w:rsidRDefault="007F2961"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Total Cash inflows</w:t>
            </w:r>
          </w:p>
        </w:tc>
        <w:tc>
          <w:tcPr>
            <w:tcW w:w="966" w:type="pct"/>
            <w:tcBorders>
              <w:top w:val="nil"/>
              <w:left w:val="nil"/>
              <w:bottom w:val="single" w:sz="8" w:space="0" w:color="auto"/>
              <w:right w:val="single" w:sz="8" w:space="0" w:color="auto"/>
            </w:tcBorders>
            <w:shd w:val="clear" w:color="auto" w:fill="auto"/>
            <w:vAlign w:val="center"/>
            <w:hideMark/>
          </w:tcPr>
          <w:p w14:paraId="222168B8" w14:textId="10D62EAB" w:rsidR="007F2961" w:rsidRPr="00CF7EF2" w:rsidRDefault="007F2961" w:rsidP="007F2961">
            <w:pPr>
              <w:jc w:val="center"/>
              <w:rPr>
                <w:rFonts w:ascii="Century Gothic" w:hAnsi="Century Gothic" w:cs="Calibri"/>
                <w:color w:val="000000"/>
              </w:rPr>
            </w:pPr>
            <w:r>
              <w:rPr>
                <w:rFonts w:ascii="Century Gothic" w:hAnsi="Century Gothic" w:cs="Calibri"/>
                <w:color w:val="000000"/>
              </w:rPr>
              <w:t>8,206.58</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76BB2F23" w14:textId="51069553" w:rsidR="007F2961" w:rsidRPr="00CF7EF2" w:rsidRDefault="007F2961" w:rsidP="007F2961">
            <w:pPr>
              <w:jc w:val="center"/>
              <w:rPr>
                <w:rFonts w:ascii="Century Gothic" w:hAnsi="Century Gothic" w:cs="Calibri"/>
                <w:color w:val="000000"/>
              </w:rPr>
            </w:pPr>
            <w:r>
              <w:rPr>
                <w:rFonts w:ascii="Century Gothic" w:hAnsi="Century Gothic" w:cs="Calibri"/>
                <w:color w:val="000000"/>
              </w:rPr>
              <w:t>7,155.49</w:t>
            </w:r>
          </w:p>
        </w:tc>
      </w:tr>
      <w:tr w:rsidR="00CF7EF2" w:rsidRPr="009E3580" w14:paraId="13BEE7F1"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1DEC815F" w14:textId="77777777" w:rsidR="00CF7EF2" w:rsidRPr="009E3580" w:rsidRDefault="00CF7EF2"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 </w:t>
            </w:r>
          </w:p>
        </w:tc>
        <w:tc>
          <w:tcPr>
            <w:tcW w:w="2618" w:type="pct"/>
            <w:tcBorders>
              <w:top w:val="nil"/>
              <w:left w:val="nil"/>
              <w:bottom w:val="single" w:sz="8" w:space="0" w:color="auto"/>
              <w:right w:val="single" w:sz="8" w:space="0" w:color="auto"/>
            </w:tcBorders>
            <w:shd w:val="clear" w:color="auto" w:fill="auto"/>
            <w:vAlign w:val="center"/>
            <w:hideMark/>
          </w:tcPr>
          <w:p w14:paraId="152BCC04" w14:textId="77777777" w:rsidR="00CF7EF2" w:rsidRPr="009E3580" w:rsidRDefault="00CF7EF2"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 </w:t>
            </w:r>
          </w:p>
        </w:tc>
        <w:tc>
          <w:tcPr>
            <w:tcW w:w="1847" w:type="pct"/>
            <w:gridSpan w:val="6"/>
            <w:tcBorders>
              <w:top w:val="single" w:sz="8" w:space="0" w:color="auto"/>
              <w:left w:val="nil"/>
              <w:bottom w:val="single" w:sz="8" w:space="0" w:color="auto"/>
              <w:right w:val="single" w:sz="8" w:space="0" w:color="000000"/>
            </w:tcBorders>
            <w:shd w:val="clear" w:color="auto" w:fill="auto"/>
            <w:vAlign w:val="center"/>
            <w:hideMark/>
          </w:tcPr>
          <w:p w14:paraId="4C3E7943" w14:textId="77777777" w:rsidR="00CF7EF2" w:rsidRPr="009E3580" w:rsidRDefault="00CF7EF2" w:rsidP="00292A51">
            <w:pPr>
              <w:jc w:val="center"/>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Total Adjusted Value</w:t>
            </w:r>
          </w:p>
        </w:tc>
      </w:tr>
      <w:tr w:rsidR="00575765" w:rsidRPr="009E3580" w14:paraId="4E7E4929" w14:textId="77777777" w:rsidTr="00575765">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1DD4D1E8" w14:textId="77777777" w:rsidR="00575765" w:rsidRPr="009E3580" w:rsidRDefault="00575765"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13</w:t>
            </w:r>
          </w:p>
        </w:tc>
        <w:tc>
          <w:tcPr>
            <w:tcW w:w="2618" w:type="pct"/>
            <w:tcBorders>
              <w:top w:val="nil"/>
              <w:left w:val="nil"/>
              <w:bottom w:val="single" w:sz="8" w:space="0" w:color="auto"/>
              <w:right w:val="single" w:sz="8" w:space="0" w:color="auto"/>
            </w:tcBorders>
            <w:shd w:val="clear" w:color="auto" w:fill="auto"/>
            <w:vAlign w:val="center"/>
            <w:hideMark/>
          </w:tcPr>
          <w:p w14:paraId="08858475" w14:textId="77777777" w:rsidR="00575765" w:rsidRPr="009E3580" w:rsidRDefault="00575765"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Total HQLA</w:t>
            </w:r>
          </w:p>
        </w:tc>
        <w:tc>
          <w:tcPr>
            <w:tcW w:w="966" w:type="pct"/>
            <w:tcBorders>
              <w:top w:val="nil"/>
              <w:left w:val="nil"/>
              <w:bottom w:val="single" w:sz="8" w:space="0" w:color="auto"/>
              <w:right w:val="single" w:sz="8" w:space="0" w:color="auto"/>
            </w:tcBorders>
            <w:shd w:val="clear" w:color="000000" w:fill="000000"/>
            <w:vAlign w:val="center"/>
            <w:hideMark/>
          </w:tcPr>
          <w:p w14:paraId="05372173" w14:textId="77777777" w:rsidR="00575765" w:rsidRPr="009E3580" w:rsidRDefault="00575765" w:rsidP="00531E1B">
            <w:pPr>
              <w:rPr>
                <w:rFonts w:ascii="Century Gothic" w:hAnsi="Century Gothic" w:cs="Calibri"/>
                <w:b/>
                <w:bCs/>
                <w:sz w:val="20"/>
                <w:szCs w:val="20"/>
                <w:lang w:val="en-IN" w:eastAsia="en-IN" w:bidi="hi-IN"/>
              </w:rPr>
            </w:pPr>
            <w:r w:rsidRPr="009E3580">
              <w:rPr>
                <w:rFonts w:ascii="Century Gothic" w:hAnsi="Century Gothic" w:cs="Calibri"/>
                <w:b/>
                <w:bCs/>
                <w:sz w:val="20"/>
                <w:szCs w:val="20"/>
                <w:lang w:val="en-IN" w:eastAsia="en-IN" w:bidi="hi-IN"/>
              </w:rPr>
              <w:t> </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2F0ADAF2" w14:textId="42D5E852" w:rsidR="00575765" w:rsidRPr="007C677A" w:rsidRDefault="00575765" w:rsidP="00575765">
            <w:pPr>
              <w:jc w:val="center"/>
              <w:rPr>
                <w:rFonts w:ascii="Century Gothic" w:hAnsi="Century Gothic" w:cs="Calibri"/>
                <w:lang w:val="en-IN" w:eastAsia="en-IN" w:bidi="hi-IN"/>
              </w:rPr>
            </w:pPr>
            <w:r>
              <w:rPr>
                <w:rFonts w:ascii="Century Gothic" w:hAnsi="Century Gothic" w:cs="Calibri"/>
                <w:color w:val="000000"/>
              </w:rPr>
              <w:t>66,576.74</w:t>
            </w:r>
          </w:p>
        </w:tc>
      </w:tr>
      <w:tr w:rsidR="00575765" w:rsidRPr="009E3580" w14:paraId="1DE486EB" w14:textId="77777777" w:rsidTr="00575765">
        <w:trPr>
          <w:gridAfter w:val="1"/>
          <w:wAfter w:w="105" w:type="pct"/>
          <w:trHeight w:val="171"/>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5DC97C2A" w14:textId="77777777" w:rsidR="00575765" w:rsidRPr="009E3580" w:rsidRDefault="00575765"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14</w:t>
            </w:r>
          </w:p>
        </w:tc>
        <w:tc>
          <w:tcPr>
            <w:tcW w:w="2618" w:type="pct"/>
            <w:tcBorders>
              <w:top w:val="nil"/>
              <w:left w:val="nil"/>
              <w:bottom w:val="single" w:sz="8" w:space="0" w:color="auto"/>
              <w:right w:val="single" w:sz="8" w:space="0" w:color="auto"/>
            </w:tcBorders>
            <w:shd w:val="clear" w:color="auto" w:fill="auto"/>
            <w:vAlign w:val="center"/>
            <w:hideMark/>
          </w:tcPr>
          <w:p w14:paraId="15AD4209" w14:textId="77777777" w:rsidR="00575765" w:rsidRPr="009E3580" w:rsidRDefault="00575765"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Total Net Cash Outflow</w:t>
            </w:r>
          </w:p>
        </w:tc>
        <w:tc>
          <w:tcPr>
            <w:tcW w:w="966" w:type="pct"/>
            <w:tcBorders>
              <w:top w:val="nil"/>
              <w:left w:val="nil"/>
              <w:bottom w:val="single" w:sz="8" w:space="0" w:color="auto"/>
              <w:right w:val="single" w:sz="8" w:space="0" w:color="auto"/>
            </w:tcBorders>
            <w:shd w:val="clear" w:color="000000" w:fill="000000"/>
            <w:vAlign w:val="center"/>
            <w:hideMark/>
          </w:tcPr>
          <w:p w14:paraId="32CB0087" w14:textId="77777777" w:rsidR="00575765" w:rsidRPr="009E3580" w:rsidRDefault="00575765" w:rsidP="00531E1B">
            <w:pPr>
              <w:rPr>
                <w:rFonts w:ascii="Century Gothic" w:hAnsi="Century Gothic" w:cs="Calibri"/>
                <w:b/>
                <w:bCs/>
                <w:sz w:val="20"/>
                <w:szCs w:val="20"/>
                <w:lang w:val="en-IN" w:eastAsia="en-IN" w:bidi="hi-IN"/>
              </w:rPr>
            </w:pPr>
            <w:r w:rsidRPr="009E3580">
              <w:rPr>
                <w:rFonts w:ascii="Century Gothic" w:hAnsi="Century Gothic" w:cs="Calibri"/>
                <w:b/>
                <w:bCs/>
                <w:sz w:val="20"/>
                <w:szCs w:val="20"/>
                <w:lang w:val="en-IN" w:eastAsia="en-IN" w:bidi="hi-IN"/>
              </w:rPr>
              <w:t> </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30E009CB" w14:textId="2E4EDEAB" w:rsidR="00575765" w:rsidRPr="007C677A" w:rsidRDefault="00575765" w:rsidP="00575765">
            <w:pPr>
              <w:jc w:val="center"/>
              <w:rPr>
                <w:rFonts w:ascii="Century Gothic" w:hAnsi="Century Gothic" w:cs="Calibri"/>
                <w:lang w:val="en-IN" w:eastAsia="en-IN" w:bidi="hi-IN"/>
              </w:rPr>
            </w:pPr>
            <w:r>
              <w:rPr>
                <w:rFonts w:ascii="Century Gothic" w:hAnsi="Century Gothic" w:cs="Calibri"/>
                <w:color w:val="000000"/>
              </w:rPr>
              <w:t>52,872.78</w:t>
            </w:r>
          </w:p>
        </w:tc>
      </w:tr>
      <w:tr w:rsidR="007A01BC" w:rsidRPr="009E3580" w14:paraId="4C179B75" w14:textId="77777777" w:rsidTr="00DA19EB">
        <w:trPr>
          <w:gridAfter w:val="1"/>
          <w:wAfter w:w="105" w:type="pct"/>
          <w:trHeight w:val="60"/>
        </w:trPr>
        <w:tc>
          <w:tcPr>
            <w:tcW w:w="430" w:type="pct"/>
            <w:tcBorders>
              <w:top w:val="nil"/>
              <w:left w:val="single" w:sz="8" w:space="0" w:color="auto"/>
              <w:bottom w:val="single" w:sz="8" w:space="0" w:color="auto"/>
              <w:right w:val="single" w:sz="8" w:space="0" w:color="auto"/>
            </w:tcBorders>
            <w:shd w:val="clear" w:color="auto" w:fill="auto"/>
            <w:noWrap/>
            <w:vAlign w:val="center"/>
            <w:hideMark/>
          </w:tcPr>
          <w:p w14:paraId="63189480" w14:textId="77777777" w:rsidR="007A01BC" w:rsidRPr="009E3580" w:rsidRDefault="007A01BC"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eastAsia="en-IN" w:bidi="hi-IN"/>
              </w:rPr>
              <w:t>15</w:t>
            </w:r>
          </w:p>
        </w:tc>
        <w:tc>
          <w:tcPr>
            <w:tcW w:w="2618" w:type="pct"/>
            <w:tcBorders>
              <w:top w:val="nil"/>
              <w:left w:val="nil"/>
              <w:bottom w:val="single" w:sz="8" w:space="0" w:color="auto"/>
              <w:right w:val="single" w:sz="8" w:space="0" w:color="auto"/>
            </w:tcBorders>
            <w:shd w:val="clear" w:color="auto" w:fill="auto"/>
            <w:vAlign w:val="center"/>
            <w:hideMark/>
          </w:tcPr>
          <w:p w14:paraId="4105D601" w14:textId="3B97151D" w:rsidR="007A01BC" w:rsidRPr="009E3580" w:rsidRDefault="007A01BC" w:rsidP="00531E1B">
            <w:pPr>
              <w:jc w:val="both"/>
              <w:rPr>
                <w:rFonts w:ascii="Century Gothic" w:hAnsi="Century Gothic" w:cs="Calibri"/>
                <w:b/>
                <w:bCs/>
                <w:sz w:val="20"/>
                <w:szCs w:val="20"/>
                <w:lang w:val="en-IN" w:eastAsia="en-IN" w:bidi="hi-IN"/>
              </w:rPr>
            </w:pPr>
            <w:r w:rsidRPr="009E3580">
              <w:rPr>
                <w:rFonts w:ascii="Century Gothic" w:hAnsi="Century Gothic" w:cs="Calibri"/>
                <w:b/>
                <w:bCs/>
                <w:sz w:val="20"/>
                <w:szCs w:val="20"/>
                <w:lang w:eastAsia="en-IN" w:bidi="hi-IN"/>
              </w:rPr>
              <w:t>Liquidity Coverage Ratio (%)</w:t>
            </w:r>
            <w:r w:rsidR="00E72144">
              <w:rPr>
                <w:rFonts w:ascii="Century Gothic" w:hAnsi="Century Gothic" w:cs="Calibri"/>
                <w:b/>
                <w:bCs/>
                <w:sz w:val="20"/>
                <w:szCs w:val="20"/>
                <w:lang w:eastAsia="en-IN" w:bidi="hi-IN"/>
              </w:rPr>
              <w:t>*</w:t>
            </w:r>
          </w:p>
        </w:tc>
        <w:tc>
          <w:tcPr>
            <w:tcW w:w="966" w:type="pct"/>
            <w:tcBorders>
              <w:top w:val="nil"/>
              <w:left w:val="nil"/>
              <w:bottom w:val="single" w:sz="8" w:space="0" w:color="auto"/>
              <w:right w:val="single" w:sz="8" w:space="0" w:color="auto"/>
            </w:tcBorders>
            <w:shd w:val="clear" w:color="000000" w:fill="000000"/>
            <w:vAlign w:val="center"/>
            <w:hideMark/>
          </w:tcPr>
          <w:p w14:paraId="17EFC699" w14:textId="77777777" w:rsidR="007A01BC" w:rsidRPr="009E3580" w:rsidRDefault="007A01BC" w:rsidP="00531E1B">
            <w:pPr>
              <w:rPr>
                <w:rFonts w:ascii="Century Gothic" w:hAnsi="Century Gothic" w:cs="Calibri"/>
                <w:b/>
                <w:bCs/>
                <w:sz w:val="20"/>
                <w:szCs w:val="20"/>
                <w:lang w:val="en-IN" w:eastAsia="en-IN" w:bidi="hi-IN"/>
              </w:rPr>
            </w:pPr>
            <w:r w:rsidRPr="009E3580">
              <w:rPr>
                <w:rFonts w:ascii="Century Gothic" w:hAnsi="Century Gothic" w:cs="Calibri"/>
                <w:b/>
                <w:bCs/>
                <w:sz w:val="20"/>
                <w:szCs w:val="20"/>
                <w:lang w:val="en-IN" w:eastAsia="en-IN" w:bidi="hi-IN"/>
              </w:rPr>
              <w:t> </w:t>
            </w:r>
          </w:p>
        </w:tc>
        <w:tc>
          <w:tcPr>
            <w:tcW w:w="881" w:type="pct"/>
            <w:gridSpan w:val="5"/>
            <w:tcBorders>
              <w:top w:val="single" w:sz="8" w:space="0" w:color="auto"/>
              <w:left w:val="nil"/>
              <w:bottom w:val="single" w:sz="8" w:space="0" w:color="auto"/>
              <w:right w:val="single" w:sz="8" w:space="0" w:color="000000"/>
            </w:tcBorders>
            <w:shd w:val="clear" w:color="auto" w:fill="auto"/>
            <w:vAlign w:val="center"/>
            <w:hideMark/>
          </w:tcPr>
          <w:p w14:paraId="64A29413" w14:textId="6BFE9A51" w:rsidR="007A01BC" w:rsidRPr="007C677A" w:rsidRDefault="004262DF" w:rsidP="002B6924">
            <w:pPr>
              <w:jc w:val="center"/>
              <w:rPr>
                <w:rFonts w:ascii="Century Gothic" w:hAnsi="Century Gothic" w:cs="Calibri"/>
                <w:b/>
                <w:bCs/>
                <w:lang w:val="en-IN" w:eastAsia="en-IN" w:bidi="hi-IN"/>
              </w:rPr>
            </w:pPr>
            <w:r>
              <w:rPr>
                <w:rFonts w:ascii="Century Gothic" w:hAnsi="Century Gothic" w:cs="Calibri"/>
                <w:b/>
                <w:bCs/>
                <w:color w:val="000000"/>
              </w:rPr>
              <w:t>125.92</w:t>
            </w:r>
            <w:r w:rsidR="007A01BC" w:rsidRPr="007C677A">
              <w:rPr>
                <w:rFonts w:ascii="Century Gothic" w:hAnsi="Century Gothic" w:cs="Calibri"/>
                <w:b/>
                <w:bCs/>
                <w:color w:val="000000"/>
              </w:rPr>
              <w:t>%</w:t>
            </w:r>
          </w:p>
        </w:tc>
      </w:tr>
      <w:tr w:rsidR="00CF7EF2" w:rsidRPr="009E3580" w14:paraId="3E1280AB" w14:textId="77777777" w:rsidTr="00DA19EB">
        <w:trPr>
          <w:gridAfter w:val="6"/>
          <w:wAfter w:w="986" w:type="pct"/>
          <w:trHeight w:val="315"/>
        </w:trPr>
        <w:tc>
          <w:tcPr>
            <w:tcW w:w="3048" w:type="pct"/>
            <w:gridSpan w:val="2"/>
            <w:tcBorders>
              <w:top w:val="single" w:sz="8" w:space="0" w:color="auto"/>
              <w:left w:val="nil"/>
              <w:bottom w:val="nil"/>
              <w:right w:val="nil"/>
            </w:tcBorders>
            <w:shd w:val="clear" w:color="auto" w:fill="auto"/>
            <w:noWrap/>
            <w:vAlign w:val="center"/>
            <w:hideMark/>
          </w:tcPr>
          <w:p w14:paraId="40B3A953" w14:textId="3557C8D6" w:rsidR="00CF7EF2" w:rsidRPr="009E3580" w:rsidRDefault="00CF7EF2" w:rsidP="006E6F2A">
            <w:pPr>
              <w:jc w:val="both"/>
              <w:rPr>
                <w:rFonts w:ascii="Century Gothic" w:hAnsi="Century Gothic" w:cs="Calibri"/>
                <w:sz w:val="20"/>
                <w:szCs w:val="20"/>
                <w:lang w:val="en-IN" w:eastAsia="en-IN" w:bidi="hi-IN"/>
              </w:rPr>
            </w:pPr>
            <w:r w:rsidRPr="009E3580">
              <w:rPr>
                <w:rFonts w:ascii="Century Gothic" w:hAnsi="Century Gothic" w:cs="Calibri"/>
                <w:sz w:val="20"/>
                <w:szCs w:val="20"/>
                <w:lang w:val="en-IN" w:eastAsia="en-IN" w:bidi="hi-IN"/>
              </w:rPr>
              <w:t xml:space="preserve">* Average of Daily LCR of </w:t>
            </w:r>
            <w:r w:rsidR="006E6F2A">
              <w:rPr>
                <w:rFonts w:ascii="Century Gothic" w:hAnsi="Century Gothic" w:cs="Calibri"/>
                <w:sz w:val="20"/>
                <w:szCs w:val="20"/>
                <w:lang w:val="en-IN" w:eastAsia="en-IN" w:bidi="hi-IN"/>
              </w:rPr>
              <w:t>Q1</w:t>
            </w:r>
            <w:r>
              <w:rPr>
                <w:rFonts w:ascii="Century Gothic" w:hAnsi="Century Gothic" w:cs="Calibri"/>
                <w:sz w:val="20"/>
                <w:szCs w:val="20"/>
                <w:lang w:val="en-IN" w:eastAsia="en-IN" w:bidi="hi-IN"/>
              </w:rPr>
              <w:t xml:space="preserve"> </w:t>
            </w:r>
            <w:r w:rsidR="006E6F2A">
              <w:rPr>
                <w:rFonts w:ascii="Century Gothic" w:hAnsi="Century Gothic" w:cs="Calibri"/>
                <w:sz w:val="20"/>
                <w:szCs w:val="20"/>
                <w:lang w:val="en-IN" w:eastAsia="en-IN" w:bidi="hi-IN"/>
              </w:rPr>
              <w:t>2025-26</w:t>
            </w:r>
            <w:r w:rsidRPr="009E3580">
              <w:rPr>
                <w:rFonts w:ascii="Century Gothic" w:hAnsi="Century Gothic" w:cs="Calibri"/>
                <w:sz w:val="20"/>
                <w:szCs w:val="20"/>
                <w:lang w:val="en-IN" w:eastAsia="en-IN" w:bidi="hi-IN"/>
              </w:rPr>
              <w:t xml:space="preserve"> i.e. from </w:t>
            </w:r>
            <w:r w:rsidR="006E6F2A">
              <w:rPr>
                <w:rFonts w:ascii="Century Gothic" w:hAnsi="Century Gothic" w:cs="Calibri"/>
                <w:sz w:val="20"/>
                <w:szCs w:val="20"/>
                <w:lang w:val="en-IN" w:eastAsia="en-IN" w:bidi="hi-IN"/>
              </w:rPr>
              <w:t>April</w:t>
            </w:r>
            <w:r>
              <w:rPr>
                <w:rFonts w:ascii="Century Gothic" w:hAnsi="Century Gothic" w:cs="Calibri"/>
                <w:sz w:val="20"/>
                <w:szCs w:val="20"/>
                <w:lang w:val="en-IN" w:eastAsia="en-IN" w:bidi="hi-IN"/>
              </w:rPr>
              <w:t xml:space="preserve"> 25</w:t>
            </w:r>
            <w:r w:rsidRPr="009E3580">
              <w:rPr>
                <w:rFonts w:ascii="Century Gothic" w:hAnsi="Century Gothic" w:cs="Calibri"/>
                <w:sz w:val="20"/>
                <w:szCs w:val="20"/>
                <w:lang w:val="en-IN" w:eastAsia="en-IN" w:bidi="hi-IN"/>
              </w:rPr>
              <w:t xml:space="preserve"> to </w:t>
            </w:r>
            <w:r w:rsidR="006E6F2A">
              <w:rPr>
                <w:rFonts w:ascii="Century Gothic" w:hAnsi="Century Gothic" w:cs="Calibri"/>
                <w:sz w:val="20"/>
                <w:szCs w:val="20"/>
                <w:lang w:val="en-IN" w:eastAsia="en-IN" w:bidi="hi-IN"/>
              </w:rPr>
              <w:t>June</w:t>
            </w:r>
            <w:r>
              <w:rPr>
                <w:rFonts w:ascii="Century Gothic" w:hAnsi="Century Gothic" w:cs="Calibri"/>
                <w:sz w:val="20"/>
                <w:szCs w:val="20"/>
                <w:lang w:val="en-IN" w:eastAsia="en-IN" w:bidi="hi-IN"/>
              </w:rPr>
              <w:t xml:space="preserve"> 25</w:t>
            </w:r>
          </w:p>
        </w:tc>
        <w:tc>
          <w:tcPr>
            <w:tcW w:w="966" w:type="pct"/>
            <w:tcBorders>
              <w:top w:val="nil"/>
              <w:left w:val="nil"/>
              <w:bottom w:val="nil"/>
              <w:right w:val="nil"/>
            </w:tcBorders>
            <w:shd w:val="clear" w:color="auto" w:fill="auto"/>
            <w:vAlign w:val="center"/>
            <w:hideMark/>
          </w:tcPr>
          <w:p w14:paraId="4773BC7A" w14:textId="77777777" w:rsidR="00CF7EF2" w:rsidRPr="009E3580" w:rsidRDefault="00CF7EF2" w:rsidP="00531E1B">
            <w:pPr>
              <w:jc w:val="both"/>
              <w:rPr>
                <w:rFonts w:ascii="Century Gothic" w:hAnsi="Century Gothic" w:cs="Calibri"/>
                <w:sz w:val="20"/>
                <w:szCs w:val="20"/>
                <w:lang w:val="en-IN" w:eastAsia="en-IN" w:bidi="hi-IN"/>
              </w:rPr>
            </w:pPr>
            <w:r w:rsidRPr="009E3580">
              <w:rPr>
                <w:rFonts w:ascii="Century Gothic" w:hAnsi="Century Gothic" w:cs="Calibri"/>
                <w:sz w:val="20"/>
                <w:szCs w:val="20"/>
                <w:lang w:val="en-IN" w:eastAsia="en-IN" w:bidi="hi-IN"/>
              </w:rPr>
              <w:t> </w:t>
            </w:r>
          </w:p>
        </w:tc>
      </w:tr>
    </w:tbl>
    <w:p w14:paraId="4EAC2F1F" w14:textId="77777777" w:rsidR="00E72144" w:rsidRPr="009E3580" w:rsidRDefault="00E72144" w:rsidP="00E72144">
      <w:pPr>
        <w:jc w:val="both"/>
        <w:rPr>
          <w:rFonts w:ascii="Century Gothic" w:hAnsi="Century Gothic"/>
          <w:b/>
          <w:bCs/>
          <w:sz w:val="22"/>
          <w:szCs w:val="22"/>
        </w:rPr>
      </w:pPr>
      <w:r w:rsidRPr="009E3580">
        <w:rPr>
          <w:rFonts w:ascii="Century Gothic" w:hAnsi="Century Gothic"/>
          <w:b/>
          <w:bCs/>
          <w:sz w:val="22"/>
          <w:szCs w:val="22"/>
        </w:rPr>
        <w:lastRenderedPageBreak/>
        <w:t>Qualitative Assessment of LCR data and Result:</w:t>
      </w:r>
    </w:p>
    <w:p w14:paraId="3E988FEE" w14:textId="77777777" w:rsidR="00E72144" w:rsidRPr="009E3580" w:rsidRDefault="00E72144" w:rsidP="00E72144">
      <w:pPr>
        <w:jc w:val="both"/>
        <w:rPr>
          <w:rFonts w:ascii="Century Gothic" w:hAnsi="Century Gothic"/>
          <w:b/>
          <w:bCs/>
          <w:sz w:val="22"/>
          <w:szCs w:val="22"/>
        </w:rPr>
      </w:pPr>
    </w:p>
    <w:p w14:paraId="7DD664DD" w14:textId="77777777" w:rsidR="00E72144" w:rsidRDefault="00E72144" w:rsidP="00E72144">
      <w:pPr>
        <w:pStyle w:val="ListParagraph"/>
        <w:ind w:left="0"/>
        <w:jc w:val="both"/>
        <w:rPr>
          <w:rFonts w:ascii="Century Gothic" w:hAnsi="Century Gothic"/>
        </w:rPr>
      </w:pPr>
      <w:r w:rsidRPr="009E3580">
        <w:rPr>
          <w:rFonts w:ascii="Century Gothic" w:hAnsi="Century Gothic"/>
        </w:rPr>
        <w:t>Liquidity Coverage Ratio (LCR) has been introduced with the objective t</w:t>
      </w:r>
      <w:r>
        <w:rPr>
          <w:rFonts w:ascii="Century Gothic" w:hAnsi="Century Gothic"/>
        </w:rPr>
        <w:t>o ensure that Bank</w:t>
      </w:r>
      <w:r w:rsidRPr="009E3580">
        <w:rPr>
          <w:rFonts w:ascii="Century Gothic" w:hAnsi="Century Gothic"/>
        </w:rPr>
        <w:t xml:space="preserve"> maintains an adequate level of unencumbered High Quality Liquid Assets (HQLAs) that can be converted into cash to meet its </w:t>
      </w:r>
      <w:r>
        <w:rPr>
          <w:rFonts w:ascii="Century Gothic" w:hAnsi="Century Gothic"/>
        </w:rPr>
        <w:t>stressed outflows</w:t>
      </w:r>
      <w:r w:rsidRPr="009E3580">
        <w:rPr>
          <w:rFonts w:ascii="Century Gothic" w:hAnsi="Century Gothic"/>
        </w:rPr>
        <w:t xml:space="preserve"> for next 30 calendar day time horizon. RBI mandates Banks t</w:t>
      </w:r>
      <w:r>
        <w:rPr>
          <w:rFonts w:ascii="Century Gothic" w:hAnsi="Century Gothic"/>
        </w:rPr>
        <w:t>o maintain minimum LCR of 100% at Bank level.</w:t>
      </w:r>
    </w:p>
    <w:p w14:paraId="24E87676" w14:textId="77777777" w:rsidR="00E72144" w:rsidRDefault="00E72144" w:rsidP="00E72144">
      <w:pPr>
        <w:pStyle w:val="ListParagraph"/>
        <w:ind w:left="0"/>
        <w:jc w:val="both"/>
        <w:rPr>
          <w:rFonts w:ascii="Century Gothic" w:hAnsi="Century Gothic"/>
        </w:rPr>
      </w:pPr>
    </w:p>
    <w:p w14:paraId="0515503B" w14:textId="77777777" w:rsidR="00E72144" w:rsidRPr="009E3580" w:rsidRDefault="00E72144" w:rsidP="00E72144">
      <w:pPr>
        <w:pStyle w:val="ListParagraph"/>
        <w:ind w:left="0"/>
        <w:jc w:val="both"/>
        <w:rPr>
          <w:rFonts w:ascii="Century Gothic" w:hAnsi="Century Gothic"/>
        </w:rPr>
      </w:pPr>
      <w:r w:rsidRPr="009E3580">
        <w:rPr>
          <w:rFonts w:ascii="Century Gothic" w:hAnsi="Century Gothic"/>
        </w:rPr>
        <w:t xml:space="preserve">Accordingly; Bank is disclosing the LCR at </w:t>
      </w:r>
      <w:r>
        <w:rPr>
          <w:rFonts w:ascii="Century Gothic" w:hAnsi="Century Gothic"/>
        </w:rPr>
        <w:t>Bank</w:t>
      </w:r>
      <w:r w:rsidRPr="009E3580">
        <w:rPr>
          <w:rFonts w:ascii="Century Gothic" w:hAnsi="Century Gothic"/>
        </w:rPr>
        <w:t xml:space="preserve"> level.</w:t>
      </w:r>
      <w:r>
        <w:rPr>
          <w:rFonts w:ascii="Century Gothic" w:hAnsi="Century Gothic"/>
        </w:rPr>
        <w:t xml:space="preserve"> The Bank is having two overseas branches at Hong Kong and Singapore for which there is no separate LCR requirement.</w:t>
      </w:r>
      <w:r w:rsidRPr="009E3580">
        <w:rPr>
          <w:rFonts w:ascii="Century Gothic" w:hAnsi="Century Gothic"/>
        </w:rPr>
        <w:t xml:space="preserve"> </w:t>
      </w:r>
    </w:p>
    <w:p w14:paraId="1DB3A63A" w14:textId="77777777" w:rsidR="00E72144" w:rsidRPr="009E3580" w:rsidRDefault="00E72144" w:rsidP="00E72144">
      <w:pPr>
        <w:pStyle w:val="ListParagraph"/>
        <w:ind w:left="0"/>
        <w:jc w:val="both"/>
        <w:rPr>
          <w:rFonts w:ascii="Century Gothic" w:hAnsi="Century Gothic"/>
          <w:bCs/>
          <w:sz w:val="22"/>
          <w:szCs w:val="22"/>
        </w:rPr>
      </w:pPr>
    </w:p>
    <w:p w14:paraId="0FFCBACB" w14:textId="77777777" w:rsidR="00E72144" w:rsidRPr="009E3580" w:rsidRDefault="00E72144" w:rsidP="00E72144">
      <w:pPr>
        <w:pStyle w:val="ListParagraph"/>
        <w:ind w:left="0"/>
        <w:jc w:val="both"/>
        <w:rPr>
          <w:rFonts w:ascii="Century Gothic" w:hAnsi="Century Gothic"/>
          <w:sz w:val="22"/>
          <w:szCs w:val="22"/>
        </w:rPr>
      </w:pPr>
      <w:r>
        <w:rPr>
          <w:rFonts w:ascii="Century Gothic" w:hAnsi="Century Gothic"/>
          <w:b/>
          <w:bCs/>
          <w:sz w:val="22"/>
          <w:szCs w:val="22"/>
          <w:u w:val="single"/>
        </w:rPr>
        <w:t xml:space="preserve">Drivers of </w:t>
      </w:r>
      <w:r w:rsidRPr="009E3580">
        <w:rPr>
          <w:rFonts w:ascii="Century Gothic" w:hAnsi="Century Gothic"/>
          <w:b/>
          <w:bCs/>
          <w:sz w:val="22"/>
          <w:szCs w:val="22"/>
          <w:u w:val="single"/>
        </w:rPr>
        <w:t>LCR</w:t>
      </w:r>
      <w:r w:rsidRPr="009E3580">
        <w:rPr>
          <w:rFonts w:ascii="Century Gothic" w:hAnsi="Century Gothic"/>
          <w:sz w:val="22"/>
          <w:szCs w:val="22"/>
        </w:rPr>
        <w:t>:</w:t>
      </w:r>
    </w:p>
    <w:p w14:paraId="6D96A84E" w14:textId="77777777" w:rsidR="00E72144" w:rsidRPr="009E3580" w:rsidRDefault="00E72144" w:rsidP="00E72144">
      <w:pPr>
        <w:pStyle w:val="ListParagraph"/>
        <w:ind w:left="0"/>
        <w:jc w:val="both"/>
        <w:rPr>
          <w:rFonts w:ascii="Century Gothic" w:hAnsi="Century Gothic"/>
          <w:sz w:val="22"/>
          <w:szCs w:val="22"/>
        </w:rPr>
      </w:pPr>
    </w:p>
    <w:p w14:paraId="47C398C5" w14:textId="77777777" w:rsidR="00E72144" w:rsidRPr="009E3580" w:rsidRDefault="00E72144" w:rsidP="00E72144">
      <w:pPr>
        <w:pStyle w:val="ListParagraph"/>
        <w:ind w:left="0"/>
        <w:jc w:val="both"/>
        <w:rPr>
          <w:rFonts w:ascii="Century Gothic" w:hAnsi="Century Gothic"/>
        </w:rPr>
      </w:pPr>
      <w:r w:rsidRPr="009E3580">
        <w:rPr>
          <w:rFonts w:ascii="Century Gothic" w:hAnsi="Century Gothic"/>
        </w:rPr>
        <w:t>The Bank has been maintaining the LCR above the minimum regulatory r</w:t>
      </w:r>
      <w:r>
        <w:rPr>
          <w:rFonts w:ascii="Century Gothic" w:hAnsi="Century Gothic"/>
        </w:rPr>
        <w:t>equirement on an ongoing basis a</w:t>
      </w:r>
      <w:r w:rsidRPr="009E3580">
        <w:rPr>
          <w:rFonts w:ascii="Century Gothic" w:hAnsi="Century Gothic"/>
        </w:rPr>
        <w:t>n</w:t>
      </w:r>
      <w:r>
        <w:rPr>
          <w:rFonts w:ascii="Century Gothic" w:hAnsi="Century Gothic"/>
        </w:rPr>
        <w:t>d</w:t>
      </w:r>
      <w:r w:rsidRPr="009E3580">
        <w:rPr>
          <w:rFonts w:ascii="Century Gothic" w:hAnsi="Century Gothic"/>
        </w:rPr>
        <w:t xml:space="preserve"> the main drivers are as under: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327"/>
      </w:tblGrid>
      <w:tr w:rsidR="00E72144" w:rsidRPr="009E3580" w14:paraId="2ECB3A37" w14:textId="77777777" w:rsidTr="003D4903">
        <w:tc>
          <w:tcPr>
            <w:tcW w:w="1058" w:type="pct"/>
          </w:tcPr>
          <w:p w14:paraId="35C88EB7" w14:textId="77777777" w:rsidR="00E72144" w:rsidRPr="009E3580" w:rsidRDefault="00E72144" w:rsidP="00CE3F54">
            <w:pPr>
              <w:pStyle w:val="ListParagraph"/>
              <w:ind w:left="0"/>
              <w:jc w:val="both"/>
              <w:rPr>
                <w:rFonts w:ascii="Century Gothic" w:hAnsi="Century Gothic"/>
                <w:b/>
                <w:sz w:val="22"/>
                <w:szCs w:val="22"/>
              </w:rPr>
            </w:pPr>
            <w:r w:rsidRPr="009E3580">
              <w:rPr>
                <w:rFonts w:ascii="Century Gothic" w:hAnsi="Century Gothic"/>
                <w:b/>
                <w:sz w:val="22"/>
                <w:szCs w:val="22"/>
              </w:rPr>
              <w:t>Drivers</w:t>
            </w:r>
          </w:p>
        </w:tc>
        <w:tc>
          <w:tcPr>
            <w:tcW w:w="3942" w:type="pct"/>
          </w:tcPr>
          <w:p w14:paraId="6A17D174" w14:textId="77777777" w:rsidR="00E72144" w:rsidRPr="009E3580" w:rsidRDefault="00E72144" w:rsidP="00CE3F54">
            <w:pPr>
              <w:pStyle w:val="ListParagraph"/>
              <w:ind w:left="0"/>
              <w:jc w:val="both"/>
              <w:rPr>
                <w:rFonts w:ascii="Century Gothic" w:hAnsi="Century Gothic"/>
                <w:b/>
                <w:sz w:val="22"/>
                <w:szCs w:val="22"/>
              </w:rPr>
            </w:pPr>
            <w:r w:rsidRPr="009E3580">
              <w:rPr>
                <w:rFonts w:ascii="Century Gothic" w:hAnsi="Century Gothic"/>
                <w:b/>
                <w:sz w:val="22"/>
                <w:szCs w:val="22"/>
              </w:rPr>
              <w:t>Particulars</w:t>
            </w:r>
          </w:p>
        </w:tc>
      </w:tr>
      <w:tr w:rsidR="00E72144" w:rsidRPr="009E3580" w14:paraId="799A2F23" w14:textId="77777777" w:rsidTr="003D4903">
        <w:tc>
          <w:tcPr>
            <w:tcW w:w="1058" w:type="pct"/>
            <w:vAlign w:val="center"/>
          </w:tcPr>
          <w:p w14:paraId="4585191C" w14:textId="77777777" w:rsidR="00E72144" w:rsidRPr="009E3580" w:rsidRDefault="00E72144" w:rsidP="00CE3F54">
            <w:pPr>
              <w:pStyle w:val="ListParagraph"/>
              <w:ind w:left="0"/>
              <w:jc w:val="both"/>
              <w:rPr>
                <w:rFonts w:ascii="Century Gothic" w:hAnsi="Century Gothic"/>
                <w:sz w:val="22"/>
                <w:szCs w:val="22"/>
              </w:rPr>
            </w:pPr>
            <w:r w:rsidRPr="009E3580">
              <w:rPr>
                <w:rFonts w:ascii="Century Gothic" w:hAnsi="Century Gothic"/>
                <w:sz w:val="22"/>
                <w:szCs w:val="22"/>
              </w:rPr>
              <w:t>High Quality Liquid Assets (HQLA)</w:t>
            </w:r>
          </w:p>
        </w:tc>
        <w:tc>
          <w:tcPr>
            <w:tcW w:w="3942" w:type="pct"/>
          </w:tcPr>
          <w:p w14:paraId="1E212BCE" w14:textId="60EB8E31" w:rsidR="00E72144" w:rsidRPr="00251971" w:rsidRDefault="00E72144" w:rsidP="00CE3F54">
            <w:pPr>
              <w:pStyle w:val="ListParagraph"/>
              <w:ind w:left="0"/>
              <w:jc w:val="both"/>
              <w:rPr>
                <w:rFonts w:ascii="Century Gothic" w:hAnsi="Century Gothic"/>
                <w:sz w:val="22"/>
                <w:szCs w:val="22"/>
              </w:rPr>
            </w:pPr>
            <w:r w:rsidRPr="00251971">
              <w:rPr>
                <w:rFonts w:ascii="Century Gothic" w:hAnsi="Century Gothic"/>
              </w:rPr>
              <w:t xml:space="preserve">The Bank is maintaining substantial level of HQLA in the form of Government Securities in excess of the mandatory SLR requirement, i.e. 18% of DTL which can be easily liquidated or could be used for generating quick liquidity in stressed conditions. Bank was holding </w:t>
            </w:r>
            <w:r w:rsidR="00251971" w:rsidRPr="00251971">
              <w:rPr>
                <w:rFonts w:ascii="Century Gothic" w:hAnsi="Century Gothic"/>
              </w:rPr>
              <w:t>4.8</w:t>
            </w:r>
            <w:r w:rsidRPr="00251971">
              <w:rPr>
                <w:rFonts w:ascii="Century Gothic" w:hAnsi="Century Gothic"/>
              </w:rPr>
              <w:t>5% of DTL in excess of ma</w:t>
            </w:r>
            <w:r w:rsidR="00251971">
              <w:rPr>
                <w:rFonts w:ascii="Century Gothic" w:hAnsi="Century Gothic"/>
              </w:rPr>
              <w:t>ndatory SLR requirement as on 30.06</w:t>
            </w:r>
            <w:r w:rsidRPr="00251971">
              <w:rPr>
                <w:rFonts w:ascii="Century Gothic" w:hAnsi="Century Gothic"/>
              </w:rPr>
              <w:t>.2025.</w:t>
            </w:r>
          </w:p>
        </w:tc>
      </w:tr>
      <w:tr w:rsidR="00E72144" w:rsidRPr="009E3580" w14:paraId="32047C27" w14:textId="77777777" w:rsidTr="003D4903">
        <w:tc>
          <w:tcPr>
            <w:tcW w:w="1058" w:type="pct"/>
            <w:vAlign w:val="center"/>
          </w:tcPr>
          <w:p w14:paraId="2B0F3F7D" w14:textId="77777777" w:rsidR="00E72144" w:rsidRPr="009E3580" w:rsidRDefault="00E72144" w:rsidP="00CE3F54">
            <w:pPr>
              <w:pStyle w:val="ListParagraph"/>
              <w:ind w:left="0"/>
              <w:jc w:val="both"/>
              <w:rPr>
                <w:rFonts w:ascii="Century Gothic" w:hAnsi="Century Gothic"/>
                <w:sz w:val="22"/>
                <w:szCs w:val="22"/>
              </w:rPr>
            </w:pPr>
            <w:r w:rsidRPr="009E3580">
              <w:rPr>
                <w:rFonts w:ascii="Century Gothic" w:hAnsi="Century Gothic"/>
              </w:rPr>
              <w:t>Funding from Retail Deposits / Small Business Customers</w:t>
            </w:r>
            <w:r>
              <w:rPr>
                <w:rFonts w:ascii="Century Gothic" w:hAnsi="Century Gothic"/>
              </w:rPr>
              <w:t xml:space="preserve"> (SBC)</w:t>
            </w:r>
          </w:p>
        </w:tc>
        <w:tc>
          <w:tcPr>
            <w:tcW w:w="3942" w:type="pct"/>
          </w:tcPr>
          <w:p w14:paraId="030355F0" w14:textId="3CD6929D" w:rsidR="00E72144" w:rsidRPr="009E3580" w:rsidRDefault="00E72144" w:rsidP="00CE3F54">
            <w:pPr>
              <w:pStyle w:val="ListParagraph"/>
              <w:ind w:left="0"/>
              <w:jc w:val="both"/>
              <w:rPr>
                <w:rFonts w:ascii="Century Gothic" w:hAnsi="Century Gothic"/>
                <w:sz w:val="22"/>
                <w:szCs w:val="22"/>
              </w:rPr>
            </w:pPr>
            <w:r w:rsidRPr="009E3580">
              <w:rPr>
                <w:rFonts w:ascii="Century Gothic" w:hAnsi="Century Gothic"/>
              </w:rPr>
              <w:t xml:space="preserve">As </w:t>
            </w:r>
            <w:r>
              <w:rPr>
                <w:rFonts w:ascii="Century Gothic" w:hAnsi="Century Gothic"/>
              </w:rPr>
              <w:t>funding from R</w:t>
            </w:r>
            <w:r w:rsidRPr="009E3580">
              <w:rPr>
                <w:rFonts w:ascii="Century Gothic" w:hAnsi="Century Gothic"/>
              </w:rPr>
              <w:t xml:space="preserve">etail </w:t>
            </w:r>
            <w:r>
              <w:rPr>
                <w:rFonts w:ascii="Century Gothic" w:hAnsi="Century Gothic"/>
              </w:rPr>
              <w:t>customers as well as funding from S</w:t>
            </w:r>
            <w:r w:rsidRPr="009E3580">
              <w:rPr>
                <w:rFonts w:ascii="Century Gothic" w:hAnsi="Century Gothic"/>
              </w:rPr>
              <w:t>mall business customers are considered stable during Str</w:t>
            </w:r>
            <w:r>
              <w:rPr>
                <w:rFonts w:ascii="Century Gothic" w:hAnsi="Century Gothic"/>
              </w:rPr>
              <w:t>ess Scenario and accordingly, B</w:t>
            </w:r>
            <w:r w:rsidRPr="009E3580">
              <w:rPr>
                <w:rFonts w:ascii="Century Gothic" w:hAnsi="Century Gothic"/>
              </w:rPr>
              <w:t xml:space="preserve">ank is focusing on </w:t>
            </w:r>
            <w:r>
              <w:rPr>
                <w:rFonts w:ascii="Century Gothic" w:hAnsi="Century Gothic"/>
              </w:rPr>
              <w:t>sourcing</w:t>
            </w:r>
            <w:r w:rsidRPr="009E3580">
              <w:rPr>
                <w:rFonts w:ascii="Century Gothic" w:hAnsi="Century Gothic"/>
              </w:rPr>
              <w:t xml:space="preserve"> </w:t>
            </w:r>
            <w:r>
              <w:rPr>
                <w:rFonts w:ascii="Century Gothic" w:hAnsi="Century Gothic"/>
              </w:rPr>
              <w:t>funding</w:t>
            </w:r>
            <w:r w:rsidRPr="009E3580">
              <w:rPr>
                <w:rFonts w:ascii="Century Gothic" w:hAnsi="Century Gothic"/>
              </w:rPr>
              <w:t xml:space="preserve"> </w:t>
            </w:r>
            <w:r>
              <w:rPr>
                <w:rFonts w:ascii="Century Gothic" w:hAnsi="Century Gothic"/>
              </w:rPr>
              <w:t xml:space="preserve">from these sources </w:t>
            </w:r>
            <w:r w:rsidRPr="009E3580">
              <w:rPr>
                <w:rFonts w:ascii="Century Gothic" w:hAnsi="Century Gothic"/>
              </w:rPr>
              <w:t>and is reducing</w:t>
            </w:r>
            <w:r>
              <w:rPr>
                <w:rFonts w:ascii="Century Gothic" w:hAnsi="Century Gothic"/>
              </w:rPr>
              <w:t xml:space="preserve"> its</w:t>
            </w:r>
            <w:r w:rsidRPr="009E3580">
              <w:rPr>
                <w:rFonts w:ascii="Century Gothic" w:hAnsi="Century Gothic"/>
              </w:rPr>
              <w:t xml:space="preserve"> dependence on corpor</w:t>
            </w:r>
            <w:r>
              <w:rPr>
                <w:rFonts w:ascii="Century Gothic" w:hAnsi="Century Gothic"/>
              </w:rPr>
              <w:t>ate deposits and deposits from B</w:t>
            </w:r>
            <w:r w:rsidRPr="009E3580">
              <w:rPr>
                <w:rFonts w:ascii="Century Gothic" w:hAnsi="Century Gothic"/>
              </w:rPr>
              <w:t>ank / FI / NBFC.</w:t>
            </w:r>
            <w:r>
              <w:rPr>
                <w:rFonts w:ascii="Century Gothic" w:hAnsi="Century Gothic"/>
              </w:rPr>
              <w:t xml:space="preserve"> Presently, </w:t>
            </w:r>
            <w:r w:rsidRPr="0046436E">
              <w:rPr>
                <w:rFonts w:ascii="Century Gothic" w:hAnsi="Century Gothic"/>
              </w:rPr>
              <w:t xml:space="preserve">Bank’s total composition of Deposits in this segment is </w:t>
            </w:r>
            <w:r w:rsidR="0046436E" w:rsidRPr="0046436E">
              <w:rPr>
                <w:rFonts w:ascii="Century Gothic" w:hAnsi="Century Gothic"/>
              </w:rPr>
              <w:t>68.56</w:t>
            </w:r>
            <w:r w:rsidRPr="0046436E">
              <w:rPr>
                <w:rFonts w:ascii="Century Gothic" w:hAnsi="Century Gothic"/>
              </w:rPr>
              <w:t>% o</w:t>
            </w:r>
            <w:r w:rsidR="00CF5F13" w:rsidRPr="0046436E">
              <w:rPr>
                <w:rFonts w:ascii="Century Gothic" w:hAnsi="Century Gothic"/>
              </w:rPr>
              <w:t>f Total Global Deposits as on 30.06</w:t>
            </w:r>
            <w:r w:rsidRPr="0046436E">
              <w:rPr>
                <w:rFonts w:ascii="Century Gothic" w:hAnsi="Century Gothic"/>
              </w:rPr>
              <w:t>.2025.</w:t>
            </w:r>
            <w:r>
              <w:rPr>
                <w:rFonts w:ascii="Century Gothic" w:hAnsi="Century Gothic"/>
              </w:rPr>
              <w:t xml:space="preserve"> </w:t>
            </w:r>
          </w:p>
        </w:tc>
      </w:tr>
    </w:tbl>
    <w:p w14:paraId="711BC533" w14:textId="77777777" w:rsidR="00E72144" w:rsidRDefault="00E72144" w:rsidP="00E72144">
      <w:pPr>
        <w:pStyle w:val="ListParagraph"/>
        <w:spacing w:after="120"/>
        <w:ind w:left="0"/>
        <w:jc w:val="both"/>
        <w:rPr>
          <w:rFonts w:ascii="Century Gothic" w:hAnsi="Century Gothic"/>
          <w:b/>
          <w:bCs/>
          <w:sz w:val="22"/>
          <w:szCs w:val="22"/>
          <w:u w:val="single"/>
        </w:rPr>
      </w:pPr>
    </w:p>
    <w:p w14:paraId="51692EFC" w14:textId="77777777" w:rsidR="00E72144" w:rsidRPr="009E3580" w:rsidRDefault="00E72144" w:rsidP="00E72144">
      <w:pPr>
        <w:pStyle w:val="ListParagraph"/>
        <w:spacing w:after="120"/>
        <w:ind w:left="0"/>
        <w:jc w:val="both"/>
        <w:rPr>
          <w:rFonts w:ascii="Century Gothic" w:hAnsi="Century Gothic"/>
          <w:sz w:val="22"/>
          <w:szCs w:val="22"/>
        </w:rPr>
      </w:pPr>
      <w:r w:rsidRPr="009E3580">
        <w:rPr>
          <w:rFonts w:ascii="Century Gothic" w:hAnsi="Century Gothic"/>
          <w:b/>
          <w:bCs/>
          <w:sz w:val="22"/>
          <w:szCs w:val="22"/>
          <w:u w:val="single"/>
        </w:rPr>
        <w:t>High Quality liquid Assets (HQLA)</w:t>
      </w:r>
      <w:r w:rsidRPr="009E3580">
        <w:rPr>
          <w:rFonts w:ascii="Century Gothic" w:hAnsi="Century Gothic"/>
          <w:sz w:val="22"/>
          <w:szCs w:val="22"/>
        </w:rPr>
        <w:t>: Our HQLA comprises of following</w:t>
      </w:r>
    </w:p>
    <w:p w14:paraId="4B3C6452" w14:textId="77777777" w:rsidR="00E72144" w:rsidRPr="009E3580" w:rsidRDefault="00E72144" w:rsidP="00E72144">
      <w:pPr>
        <w:pStyle w:val="ListParagraph"/>
        <w:numPr>
          <w:ilvl w:val="0"/>
          <w:numId w:val="4"/>
        </w:numPr>
        <w:spacing w:after="120" w:line="276" w:lineRule="auto"/>
        <w:jc w:val="both"/>
        <w:rPr>
          <w:rFonts w:ascii="Century Gothic" w:hAnsi="Century Gothic"/>
          <w:b/>
          <w:sz w:val="22"/>
          <w:szCs w:val="22"/>
          <w:u w:val="single"/>
        </w:rPr>
      </w:pPr>
      <w:r w:rsidRPr="009E3580">
        <w:rPr>
          <w:rFonts w:ascii="Century Gothic" w:hAnsi="Century Gothic"/>
          <w:b/>
          <w:sz w:val="22"/>
          <w:szCs w:val="22"/>
          <w:u w:val="single"/>
        </w:rPr>
        <w:t>Level 1 Assets</w:t>
      </w:r>
    </w:p>
    <w:p w14:paraId="66E17168" w14:textId="77777777" w:rsidR="00E72144" w:rsidRPr="009E3580" w:rsidRDefault="00E72144" w:rsidP="00E72144">
      <w:pPr>
        <w:pStyle w:val="ListParagraph"/>
        <w:numPr>
          <w:ilvl w:val="0"/>
          <w:numId w:val="3"/>
        </w:numPr>
        <w:spacing w:after="200" w:line="276" w:lineRule="auto"/>
        <w:contextualSpacing/>
        <w:jc w:val="both"/>
        <w:rPr>
          <w:rFonts w:ascii="Century Gothic" w:hAnsi="Century Gothic"/>
          <w:sz w:val="22"/>
          <w:szCs w:val="22"/>
        </w:rPr>
      </w:pPr>
      <w:r w:rsidRPr="009E3580">
        <w:rPr>
          <w:rFonts w:ascii="Century Gothic" w:hAnsi="Century Gothic"/>
          <w:sz w:val="22"/>
          <w:szCs w:val="22"/>
        </w:rPr>
        <w:t>Cash in hand  including Cash Reserve in excess of CRR</w:t>
      </w:r>
    </w:p>
    <w:p w14:paraId="71C897E4" w14:textId="77777777" w:rsidR="00E72144" w:rsidRPr="009E3580" w:rsidRDefault="00E72144" w:rsidP="00E72144">
      <w:pPr>
        <w:pStyle w:val="ListParagraph"/>
        <w:numPr>
          <w:ilvl w:val="0"/>
          <w:numId w:val="3"/>
        </w:numPr>
        <w:spacing w:after="200" w:line="276" w:lineRule="auto"/>
        <w:contextualSpacing/>
        <w:jc w:val="both"/>
        <w:rPr>
          <w:rFonts w:ascii="Century Gothic" w:hAnsi="Century Gothic"/>
          <w:sz w:val="22"/>
          <w:szCs w:val="22"/>
        </w:rPr>
      </w:pPr>
      <w:r w:rsidRPr="009E3580">
        <w:rPr>
          <w:rFonts w:ascii="Century Gothic" w:hAnsi="Century Gothic"/>
          <w:sz w:val="22"/>
          <w:szCs w:val="22"/>
        </w:rPr>
        <w:t>Govt. Securities  in Excess of Mandatory SLR</w:t>
      </w:r>
    </w:p>
    <w:p w14:paraId="3778025C" w14:textId="77777777" w:rsidR="00E72144" w:rsidRPr="009E3580" w:rsidRDefault="00E72144" w:rsidP="00E72144">
      <w:pPr>
        <w:pStyle w:val="ListParagraph"/>
        <w:numPr>
          <w:ilvl w:val="0"/>
          <w:numId w:val="3"/>
        </w:numPr>
        <w:spacing w:line="276" w:lineRule="auto"/>
        <w:jc w:val="both"/>
        <w:rPr>
          <w:rFonts w:ascii="Century Gothic" w:hAnsi="Century Gothic"/>
          <w:sz w:val="22"/>
          <w:szCs w:val="22"/>
        </w:rPr>
      </w:pPr>
      <w:r w:rsidRPr="009E3580">
        <w:rPr>
          <w:rFonts w:ascii="Century Gothic" w:hAnsi="Century Gothic"/>
          <w:sz w:val="22"/>
          <w:szCs w:val="22"/>
        </w:rPr>
        <w:t>Marginal standing Facility up to 2% of Net Demand and Time Liabilities in the form of SLR securities.</w:t>
      </w:r>
    </w:p>
    <w:p w14:paraId="11FF58EB" w14:textId="77777777" w:rsidR="00E72144" w:rsidRPr="009E3580" w:rsidRDefault="00E72144" w:rsidP="00E72144">
      <w:pPr>
        <w:pStyle w:val="ListParagraph"/>
        <w:numPr>
          <w:ilvl w:val="0"/>
          <w:numId w:val="3"/>
        </w:numPr>
        <w:spacing w:after="240" w:line="276" w:lineRule="auto"/>
        <w:jc w:val="both"/>
        <w:rPr>
          <w:rFonts w:ascii="Century Gothic" w:hAnsi="Century Gothic"/>
          <w:sz w:val="22"/>
          <w:szCs w:val="22"/>
        </w:rPr>
      </w:pPr>
      <w:r w:rsidRPr="009E3580">
        <w:rPr>
          <w:rFonts w:ascii="Century Gothic" w:hAnsi="Century Gothic"/>
          <w:sz w:val="22"/>
          <w:szCs w:val="22"/>
        </w:rPr>
        <w:t>F</w:t>
      </w:r>
      <w:r>
        <w:rPr>
          <w:rFonts w:ascii="Century Gothic" w:hAnsi="Century Gothic"/>
          <w:sz w:val="22"/>
          <w:szCs w:val="22"/>
        </w:rPr>
        <w:t>acility to Avail Liquidity for L</w:t>
      </w:r>
      <w:r w:rsidRPr="009E3580">
        <w:rPr>
          <w:rFonts w:ascii="Century Gothic" w:hAnsi="Century Gothic"/>
          <w:sz w:val="22"/>
          <w:szCs w:val="22"/>
        </w:rPr>
        <w:t>iquidity Coverage Ratio up to 16% of Net Demand and Time Liabilities in the form of SLR securities.</w:t>
      </w:r>
    </w:p>
    <w:p w14:paraId="0C02EC84" w14:textId="77777777" w:rsidR="00E72144" w:rsidRPr="009E3580" w:rsidRDefault="00E72144" w:rsidP="00E72144">
      <w:pPr>
        <w:pStyle w:val="ListParagraph"/>
        <w:numPr>
          <w:ilvl w:val="0"/>
          <w:numId w:val="4"/>
        </w:numPr>
        <w:spacing w:after="240" w:line="276" w:lineRule="auto"/>
        <w:jc w:val="both"/>
        <w:rPr>
          <w:rFonts w:ascii="Century Gothic" w:hAnsi="Century Gothic"/>
          <w:b/>
          <w:sz w:val="22"/>
          <w:szCs w:val="22"/>
          <w:u w:val="single"/>
        </w:rPr>
      </w:pPr>
      <w:r w:rsidRPr="009E3580">
        <w:rPr>
          <w:rFonts w:ascii="Century Gothic" w:hAnsi="Century Gothic"/>
          <w:b/>
          <w:sz w:val="22"/>
          <w:szCs w:val="22"/>
          <w:u w:val="single"/>
        </w:rPr>
        <w:t>Level 2 Assets (Not issued by Banks/Financial Institution)</w:t>
      </w:r>
    </w:p>
    <w:p w14:paraId="67383FD2" w14:textId="77777777" w:rsidR="00E72144" w:rsidRPr="009E3580" w:rsidRDefault="00E72144" w:rsidP="00E72144">
      <w:pPr>
        <w:pStyle w:val="ListParagraph"/>
        <w:numPr>
          <w:ilvl w:val="0"/>
          <w:numId w:val="4"/>
        </w:numPr>
        <w:spacing w:after="240" w:line="276" w:lineRule="auto"/>
        <w:jc w:val="both"/>
        <w:rPr>
          <w:rFonts w:ascii="Century Gothic" w:hAnsi="Century Gothic"/>
          <w:b/>
          <w:sz w:val="22"/>
          <w:szCs w:val="22"/>
          <w:u w:val="single"/>
        </w:rPr>
      </w:pPr>
      <w:r w:rsidRPr="009E3580">
        <w:rPr>
          <w:rFonts w:ascii="Century Gothic" w:hAnsi="Century Gothic"/>
          <w:b/>
          <w:sz w:val="22"/>
          <w:szCs w:val="22"/>
          <w:u w:val="single"/>
        </w:rPr>
        <w:t>Level 2A assets- With Haircut of 15%</w:t>
      </w:r>
    </w:p>
    <w:p w14:paraId="73F53A25" w14:textId="77777777" w:rsidR="00E72144" w:rsidRPr="009E3580" w:rsidRDefault="00E72144" w:rsidP="00E72144">
      <w:pPr>
        <w:pStyle w:val="ListParagraph"/>
        <w:numPr>
          <w:ilvl w:val="0"/>
          <w:numId w:val="5"/>
        </w:numPr>
        <w:spacing w:after="120" w:line="276" w:lineRule="auto"/>
        <w:jc w:val="both"/>
        <w:rPr>
          <w:rFonts w:ascii="Century Gothic" w:hAnsi="Century Gothic"/>
          <w:sz w:val="22"/>
          <w:szCs w:val="22"/>
        </w:rPr>
      </w:pPr>
      <w:r w:rsidRPr="009E3580">
        <w:rPr>
          <w:rFonts w:ascii="Century Gothic" w:hAnsi="Century Gothic"/>
          <w:sz w:val="22"/>
          <w:szCs w:val="22"/>
        </w:rPr>
        <w:t xml:space="preserve">Marketable securities representing claims on or claims guaranteed by Sovereigns Public Sector Entities (PSEs)  having risk weight 20% </w:t>
      </w:r>
    </w:p>
    <w:p w14:paraId="21C49BFF" w14:textId="77777777" w:rsidR="00E72144" w:rsidRDefault="00E72144" w:rsidP="00E72144">
      <w:pPr>
        <w:pStyle w:val="ListParagraph"/>
        <w:numPr>
          <w:ilvl w:val="0"/>
          <w:numId w:val="5"/>
        </w:numPr>
        <w:spacing w:after="60"/>
        <w:jc w:val="both"/>
        <w:rPr>
          <w:rFonts w:ascii="Century Gothic" w:hAnsi="Century Gothic"/>
          <w:sz w:val="22"/>
          <w:szCs w:val="22"/>
        </w:rPr>
      </w:pPr>
      <w:r w:rsidRPr="009E3580">
        <w:rPr>
          <w:rFonts w:ascii="Century Gothic" w:hAnsi="Century Gothic"/>
          <w:sz w:val="22"/>
          <w:szCs w:val="22"/>
        </w:rPr>
        <w:t>Corporate Bonds and Commercial Papers having minimum rating of AA-</w:t>
      </w:r>
    </w:p>
    <w:p w14:paraId="46CBCD07" w14:textId="77777777" w:rsidR="003D4903" w:rsidRDefault="003D4903" w:rsidP="003D4903">
      <w:pPr>
        <w:pStyle w:val="ListParagraph"/>
        <w:spacing w:after="60"/>
        <w:ind w:left="1080"/>
        <w:jc w:val="both"/>
        <w:rPr>
          <w:rFonts w:ascii="Century Gothic" w:hAnsi="Century Gothic"/>
          <w:sz w:val="22"/>
          <w:szCs w:val="22"/>
        </w:rPr>
      </w:pPr>
    </w:p>
    <w:p w14:paraId="13856501" w14:textId="77777777" w:rsidR="003D4903" w:rsidRPr="00F122DE" w:rsidRDefault="003D4903" w:rsidP="003D4903">
      <w:pPr>
        <w:pStyle w:val="ListParagraph"/>
        <w:spacing w:after="60"/>
        <w:ind w:left="1080"/>
        <w:jc w:val="both"/>
        <w:rPr>
          <w:rFonts w:ascii="Century Gothic" w:hAnsi="Century Gothic"/>
          <w:sz w:val="22"/>
          <w:szCs w:val="22"/>
        </w:rPr>
      </w:pPr>
    </w:p>
    <w:p w14:paraId="0EA15789" w14:textId="77777777" w:rsidR="00E72144" w:rsidRPr="009E3580" w:rsidRDefault="00E72144" w:rsidP="00E72144">
      <w:pPr>
        <w:pStyle w:val="ListParagraph"/>
        <w:numPr>
          <w:ilvl w:val="0"/>
          <w:numId w:val="6"/>
        </w:numPr>
        <w:spacing w:after="120"/>
        <w:contextualSpacing/>
        <w:jc w:val="both"/>
        <w:rPr>
          <w:rFonts w:ascii="Century Gothic" w:hAnsi="Century Gothic"/>
          <w:sz w:val="22"/>
          <w:szCs w:val="22"/>
        </w:rPr>
      </w:pPr>
      <w:r w:rsidRPr="009E3580">
        <w:rPr>
          <w:rFonts w:ascii="Century Gothic" w:hAnsi="Century Gothic"/>
          <w:b/>
          <w:sz w:val="22"/>
          <w:szCs w:val="22"/>
          <w:u w:val="single"/>
        </w:rPr>
        <w:lastRenderedPageBreak/>
        <w:t>Level 2B assets –With Haircut of 50%</w:t>
      </w:r>
    </w:p>
    <w:p w14:paraId="5EA7EAB3" w14:textId="77777777" w:rsidR="00E72144" w:rsidRPr="009E3580" w:rsidRDefault="00E72144" w:rsidP="00E72144">
      <w:pPr>
        <w:pStyle w:val="ListParagraph"/>
        <w:spacing w:after="120"/>
        <w:jc w:val="both"/>
        <w:rPr>
          <w:rFonts w:ascii="Century Gothic" w:hAnsi="Century Gothic"/>
          <w:sz w:val="22"/>
          <w:szCs w:val="22"/>
        </w:rPr>
      </w:pPr>
    </w:p>
    <w:p w14:paraId="6AE3BD40" w14:textId="77777777" w:rsidR="00E72144" w:rsidRDefault="00E72144" w:rsidP="00E72144">
      <w:pPr>
        <w:pStyle w:val="ListParagraph"/>
        <w:numPr>
          <w:ilvl w:val="0"/>
          <w:numId w:val="7"/>
        </w:numPr>
        <w:spacing w:before="120" w:after="120"/>
        <w:ind w:left="922"/>
        <w:contextualSpacing/>
        <w:jc w:val="both"/>
        <w:rPr>
          <w:rFonts w:ascii="Century Gothic" w:hAnsi="Century Gothic"/>
          <w:sz w:val="22"/>
          <w:szCs w:val="22"/>
        </w:rPr>
      </w:pPr>
      <w:r w:rsidRPr="009E3580">
        <w:rPr>
          <w:rFonts w:ascii="Century Gothic" w:hAnsi="Century Gothic"/>
          <w:sz w:val="22"/>
          <w:szCs w:val="22"/>
        </w:rPr>
        <w:t>Securities issued or guaranteed by sovereigns having risk weight higher than 20% but not higher than 50% (i.e. Bonds with Rating AA &amp; A)</w:t>
      </w:r>
    </w:p>
    <w:p w14:paraId="3DE0337D" w14:textId="77777777" w:rsidR="00E72144" w:rsidRPr="004C4D9D" w:rsidRDefault="00E72144" w:rsidP="00E72144">
      <w:pPr>
        <w:pStyle w:val="ListParagraph"/>
        <w:spacing w:before="120" w:after="120"/>
        <w:ind w:left="922"/>
        <w:contextualSpacing/>
        <w:jc w:val="both"/>
        <w:rPr>
          <w:rFonts w:ascii="Century Gothic" w:hAnsi="Century Gothic"/>
          <w:sz w:val="22"/>
          <w:szCs w:val="22"/>
        </w:rPr>
      </w:pPr>
    </w:p>
    <w:p w14:paraId="5D242A2F" w14:textId="77777777" w:rsidR="00E72144" w:rsidRPr="009E3580" w:rsidRDefault="00E72144" w:rsidP="00E72144">
      <w:pPr>
        <w:pStyle w:val="ListParagraph"/>
        <w:numPr>
          <w:ilvl w:val="0"/>
          <w:numId w:val="7"/>
        </w:numPr>
        <w:spacing w:before="120" w:after="120"/>
        <w:ind w:left="922"/>
        <w:contextualSpacing/>
        <w:jc w:val="both"/>
        <w:rPr>
          <w:rFonts w:ascii="Century Gothic" w:hAnsi="Century Gothic"/>
          <w:sz w:val="22"/>
          <w:szCs w:val="22"/>
        </w:rPr>
      </w:pPr>
      <w:r w:rsidRPr="009E3580">
        <w:rPr>
          <w:rFonts w:ascii="Century Gothic" w:hAnsi="Century Gothic"/>
          <w:sz w:val="22"/>
          <w:szCs w:val="22"/>
        </w:rPr>
        <w:t>Corporate Debt Securities (including Commercial Paper) having external rating between A+ and BBB-</w:t>
      </w:r>
    </w:p>
    <w:p w14:paraId="4F733CDE" w14:textId="77777777" w:rsidR="00E72144" w:rsidRPr="009E3580" w:rsidRDefault="00E72144" w:rsidP="00E72144">
      <w:pPr>
        <w:pStyle w:val="ListParagraph"/>
        <w:spacing w:after="120"/>
        <w:ind w:left="922"/>
        <w:jc w:val="both"/>
        <w:rPr>
          <w:rFonts w:ascii="Century Gothic" w:hAnsi="Century Gothic"/>
          <w:sz w:val="22"/>
          <w:szCs w:val="22"/>
        </w:rPr>
      </w:pPr>
    </w:p>
    <w:p w14:paraId="12F2EACA" w14:textId="77777777" w:rsidR="00E72144" w:rsidRPr="009E3580" w:rsidRDefault="00E72144" w:rsidP="00E72144">
      <w:pPr>
        <w:pStyle w:val="ListParagraph"/>
        <w:numPr>
          <w:ilvl w:val="0"/>
          <w:numId w:val="7"/>
        </w:numPr>
        <w:spacing w:before="120" w:after="120"/>
        <w:ind w:left="922"/>
        <w:contextualSpacing/>
        <w:jc w:val="both"/>
        <w:rPr>
          <w:rFonts w:ascii="Century Gothic" w:hAnsi="Century Gothic"/>
          <w:sz w:val="22"/>
          <w:szCs w:val="22"/>
        </w:rPr>
      </w:pPr>
      <w:r w:rsidRPr="009E3580">
        <w:rPr>
          <w:rFonts w:ascii="Century Gothic" w:hAnsi="Century Gothic"/>
          <w:sz w:val="22"/>
          <w:szCs w:val="22"/>
        </w:rPr>
        <w:t>Common Equity Shares Included in NSE CNX Nifty index and/or S&amp;P BSE Sensex index</w:t>
      </w:r>
    </w:p>
    <w:p w14:paraId="0C260E91" w14:textId="77777777" w:rsidR="00E72144" w:rsidRDefault="00E72144" w:rsidP="00E72144">
      <w:pPr>
        <w:spacing w:before="120" w:after="120"/>
        <w:contextualSpacing/>
        <w:jc w:val="both"/>
        <w:rPr>
          <w:rFonts w:ascii="Century Gothic" w:hAnsi="Century Gothic"/>
          <w:b/>
          <w:bCs/>
        </w:rPr>
      </w:pPr>
    </w:p>
    <w:p w14:paraId="2B099995" w14:textId="1F876FA0" w:rsidR="00E72144" w:rsidRDefault="00E72144" w:rsidP="00E72144">
      <w:pPr>
        <w:spacing w:before="120" w:after="120"/>
        <w:contextualSpacing/>
        <w:jc w:val="both"/>
        <w:rPr>
          <w:rFonts w:ascii="Century Gothic" w:hAnsi="Century Gothic"/>
        </w:rPr>
      </w:pPr>
      <w:r w:rsidRPr="002E2DA7">
        <w:rPr>
          <w:rFonts w:ascii="Century Gothic" w:hAnsi="Century Gothic"/>
          <w:b/>
          <w:bCs/>
        </w:rPr>
        <w:t xml:space="preserve">Composition of HQLA: </w:t>
      </w:r>
      <w:r>
        <w:rPr>
          <w:rFonts w:ascii="Century Gothic" w:hAnsi="Century Gothic"/>
        </w:rPr>
        <w:t xml:space="preserve">The Bank during the three </w:t>
      </w:r>
      <w:r w:rsidR="003D4903">
        <w:rPr>
          <w:rFonts w:ascii="Century Gothic" w:hAnsi="Century Gothic"/>
        </w:rPr>
        <w:t>months ended 30</w:t>
      </w:r>
      <w:r w:rsidR="003D4903">
        <w:rPr>
          <w:rFonts w:ascii="Century Gothic" w:hAnsi="Century Gothic"/>
          <w:vertAlign w:val="superscript"/>
        </w:rPr>
        <w:t>th</w:t>
      </w:r>
      <w:r w:rsidR="003D4903">
        <w:rPr>
          <w:rFonts w:ascii="Century Gothic" w:hAnsi="Century Gothic"/>
        </w:rPr>
        <w:t xml:space="preserve"> June</w:t>
      </w:r>
      <w:r>
        <w:rPr>
          <w:rFonts w:ascii="Century Gothic" w:hAnsi="Century Gothic"/>
        </w:rPr>
        <w:t xml:space="preserve"> 2025 maintained average HQLA of </w:t>
      </w:r>
      <w:proofErr w:type="spellStart"/>
      <w:r>
        <w:rPr>
          <w:rFonts w:ascii="Century Gothic" w:hAnsi="Century Gothic"/>
        </w:rPr>
        <w:t>Rs</w:t>
      </w:r>
      <w:proofErr w:type="spellEnd"/>
      <w:r>
        <w:rPr>
          <w:rFonts w:ascii="Century Gothic" w:hAnsi="Century Gothic"/>
        </w:rPr>
        <w:t>.</w:t>
      </w:r>
      <w:r w:rsidR="004E1B0A">
        <w:rPr>
          <w:rFonts w:ascii="Century Gothic" w:hAnsi="Century Gothic"/>
        </w:rPr>
        <w:t xml:space="preserve"> </w:t>
      </w:r>
      <w:r w:rsidR="00551A9B">
        <w:rPr>
          <w:rFonts w:ascii="Century Gothic" w:hAnsi="Century Gothic" w:cs="Calibri"/>
        </w:rPr>
        <w:t xml:space="preserve">66,576.74 </w:t>
      </w:r>
      <w:proofErr w:type="spellStart"/>
      <w:r w:rsidRPr="00790867">
        <w:rPr>
          <w:rFonts w:ascii="Century Gothic" w:hAnsi="Century Gothic"/>
        </w:rPr>
        <w:t>crore</w:t>
      </w:r>
      <w:proofErr w:type="spellEnd"/>
      <w:r>
        <w:rPr>
          <w:rFonts w:ascii="Century Gothic" w:hAnsi="Century Gothic"/>
        </w:rPr>
        <w:t xml:space="preserve"> of which Level 1 Assets contribute to approximately </w:t>
      </w:r>
      <w:r w:rsidRPr="00790867">
        <w:rPr>
          <w:rFonts w:ascii="Century Gothic" w:hAnsi="Century Gothic"/>
        </w:rPr>
        <w:t>99.</w:t>
      </w:r>
      <w:r w:rsidR="006E7567">
        <w:rPr>
          <w:rFonts w:ascii="Century Gothic" w:hAnsi="Century Gothic"/>
        </w:rPr>
        <w:t>81</w:t>
      </w:r>
      <w:r w:rsidRPr="00790867">
        <w:rPr>
          <w:rFonts w:ascii="Century Gothic" w:hAnsi="Century Gothic"/>
        </w:rPr>
        <w:t>%</w:t>
      </w:r>
      <w:r>
        <w:rPr>
          <w:rFonts w:ascii="Century Gothic" w:hAnsi="Century Gothic"/>
        </w:rPr>
        <w:t xml:space="preserve"> of the total stock of HQLA. Level 1 assets are more stable form of asset with no or lower haircut for meeting any cash outflow. Facility to avail Liquidity for Liquidity Coverage Ratio (FALLCR) constitutes the highest portion to HQLA i.e</w:t>
      </w:r>
      <w:r w:rsidRPr="00305364">
        <w:rPr>
          <w:rFonts w:ascii="Century Gothic" w:hAnsi="Century Gothic"/>
        </w:rPr>
        <w:t xml:space="preserve">. around </w:t>
      </w:r>
      <w:r w:rsidR="005008E6" w:rsidRPr="005008E6">
        <w:rPr>
          <w:rFonts w:ascii="Century Gothic" w:hAnsi="Century Gothic"/>
        </w:rPr>
        <w:t>70.56</w:t>
      </w:r>
      <w:r w:rsidRPr="005008E6">
        <w:rPr>
          <w:rFonts w:ascii="Century Gothic" w:hAnsi="Century Gothic"/>
        </w:rPr>
        <w:t>% approx. of</w:t>
      </w:r>
      <w:r w:rsidR="001E45B1" w:rsidRPr="005008E6">
        <w:rPr>
          <w:rFonts w:ascii="Century Gothic" w:hAnsi="Century Gothic"/>
        </w:rPr>
        <w:t xml:space="preserve"> the total average HQLA as on 30.06</w:t>
      </w:r>
      <w:r w:rsidRPr="005008E6">
        <w:rPr>
          <w:rFonts w:ascii="Century Gothic" w:hAnsi="Century Gothic"/>
        </w:rPr>
        <w:t>.2025.</w:t>
      </w:r>
    </w:p>
    <w:p w14:paraId="2A55B8DB" w14:textId="77777777" w:rsidR="00E72144" w:rsidRDefault="00E72144" w:rsidP="00E72144">
      <w:pPr>
        <w:spacing w:before="120" w:after="120"/>
        <w:contextualSpacing/>
        <w:jc w:val="both"/>
        <w:rPr>
          <w:rFonts w:ascii="Century Gothic" w:hAnsi="Century Gothic"/>
        </w:rPr>
      </w:pPr>
    </w:p>
    <w:p w14:paraId="35A1673A" w14:textId="09E30120" w:rsidR="00E72144" w:rsidRDefault="00E72144" w:rsidP="00E72144">
      <w:pPr>
        <w:spacing w:before="120" w:after="120"/>
        <w:contextualSpacing/>
        <w:jc w:val="both"/>
        <w:rPr>
          <w:rFonts w:ascii="Century Gothic" w:hAnsi="Century Gothic"/>
        </w:rPr>
      </w:pPr>
      <w:r w:rsidRPr="00140BEE">
        <w:rPr>
          <w:rFonts w:ascii="Century Gothic" w:hAnsi="Century Gothic"/>
        </w:rPr>
        <w:t xml:space="preserve">The percentage of </w:t>
      </w:r>
      <w:r w:rsidR="00140BEE" w:rsidRPr="00140BEE">
        <w:rPr>
          <w:rFonts w:ascii="Century Gothic" w:hAnsi="Century Gothic"/>
        </w:rPr>
        <w:t>E</w:t>
      </w:r>
      <w:r w:rsidRPr="00140BEE">
        <w:rPr>
          <w:rFonts w:ascii="Century Gothic" w:hAnsi="Century Gothic"/>
        </w:rPr>
        <w:t xml:space="preserve">xcess SLR to total HQLA has </w:t>
      </w:r>
      <w:r w:rsidR="007B2457" w:rsidRPr="00140BEE">
        <w:rPr>
          <w:rFonts w:ascii="Century Gothic" w:hAnsi="Century Gothic"/>
        </w:rPr>
        <w:t>de</w:t>
      </w:r>
      <w:r w:rsidRPr="00140BEE">
        <w:rPr>
          <w:rFonts w:ascii="Century Gothic" w:hAnsi="Century Gothic"/>
        </w:rPr>
        <w:t xml:space="preserve">creased from </w:t>
      </w:r>
      <w:r w:rsidR="00140BEE" w:rsidRPr="00140BEE">
        <w:rPr>
          <w:rFonts w:ascii="Century Gothic" w:hAnsi="Century Gothic"/>
        </w:rPr>
        <w:t>15.15</w:t>
      </w:r>
      <w:r w:rsidRPr="00140BEE">
        <w:rPr>
          <w:rFonts w:ascii="Century Gothic" w:hAnsi="Century Gothic"/>
        </w:rPr>
        <w:t xml:space="preserve">% as on 31.03.2025 </w:t>
      </w:r>
      <w:r w:rsidR="00B53503" w:rsidRPr="00140BEE">
        <w:rPr>
          <w:rFonts w:ascii="Century Gothic" w:hAnsi="Century Gothic"/>
        </w:rPr>
        <w:t xml:space="preserve">to </w:t>
      </w:r>
      <w:r w:rsidR="00140BEE" w:rsidRPr="00140BEE">
        <w:rPr>
          <w:rFonts w:ascii="Century Gothic" w:hAnsi="Century Gothic"/>
        </w:rPr>
        <w:t>13.16</w:t>
      </w:r>
      <w:r w:rsidR="00B53503" w:rsidRPr="00140BEE">
        <w:rPr>
          <w:rFonts w:ascii="Century Gothic" w:hAnsi="Century Gothic"/>
        </w:rPr>
        <w:t xml:space="preserve">% as on 30.06.2025 </w:t>
      </w:r>
      <w:r w:rsidRPr="009D610E">
        <w:rPr>
          <w:rFonts w:ascii="Century Gothic" w:hAnsi="Century Gothic"/>
        </w:rPr>
        <w:t xml:space="preserve">as Borrowing as a percentage of </w:t>
      </w:r>
      <w:proofErr w:type="spellStart"/>
      <w:r w:rsidRPr="009D610E">
        <w:rPr>
          <w:rFonts w:ascii="Century Gothic" w:hAnsi="Century Gothic"/>
        </w:rPr>
        <w:t>unweighted</w:t>
      </w:r>
      <w:proofErr w:type="spellEnd"/>
      <w:r w:rsidRPr="009D610E">
        <w:rPr>
          <w:rFonts w:ascii="Century Gothic" w:hAnsi="Century Gothic"/>
        </w:rPr>
        <w:t xml:space="preserve"> total cash outflows </w:t>
      </w:r>
      <w:r w:rsidR="00561BF2" w:rsidRPr="009D610E">
        <w:rPr>
          <w:rFonts w:ascii="Century Gothic" w:hAnsi="Century Gothic"/>
        </w:rPr>
        <w:t>in</w:t>
      </w:r>
      <w:r w:rsidRPr="009D610E">
        <w:rPr>
          <w:rFonts w:ascii="Century Gothic" w:hAnsi="Century Gothic"/>
        </w:rPr>
        <w:t>creased from 1.54% as on 31.03.2025</w:t>
      </w:r>
      <w:r w:rsidR="005512D6" w:rsidRPr="009D610E">
        <w:rPr>
          <w:rFonts w:ascii="Century Gothic" w:hAnsi="Century Gothic"/>
        </w:rPr>
        <w:t xml:space="preserve"> to </w:t>
      </w:r>
      <w:r w:rsidR="00561BF2" w:rsidRPr="009D610E">
        <w:rPr>
          <w:rFonts w:ascii="Century Gothic" w:hAnsi="Century Gothic"/>
        </w:rPr>
        <w:t>1.58</w:t>
      </w:r>
      <w:r w:rsidR="005512D6" w:rsidRPr="009D610E">
        <w:rPr>
          <w:rFonts w:ascii="Century Gothic" w:hAnsi="Century Gothic"/>
        </w:rPr>
        <w:t>% as on 30.06.2025</w:t>
      </w:r>
      <w:r w:rsidR="009D610E">
        <w:rPr>
          <w:rFonts w:ascii="Century Gothic" w:hAnsi="Century Gothic"/>
        </w:rPr>
        <w:t xml:space="preserve"> and </w:t>
      </w:r>
      <w:r w:rsidR="00ED75B4">
        <w:rPr>
          <w:rFonts w:ascii="Century Gothic" w:hAnsi="Century Gothic"/>
        </w:rPr>
        <w:t xml:space="preserve">also </w:t>
      </w:r>
      <w:r w:rsidR="009D610E">
        <w:rPr>
          <w:rFonts w:ascii="Century Gothic" w:hAnsi="Century Gothic"/>
        </w:rPr>
        <w:t>due to sale/ redemption of SLR securities</w:t>
      </w:r>
      <w:r w:rsidR="00666FD8">
        <w:rPr>
          <w:rFonts w:ascii="Century Gothic" w:hAnsi="Century Gothic"/>
        </w:rPr>
        <w:t xml:space="preserve"> during the above period</w:t>
      </w:r>
      <w:r w:rsidRPr="009D610E">
        <w:rPr>
          <w:rFonts w:ascii="Century Gothic" w:hAnsi="Century Gothic"/>
        </w:rPr>
        <w:t>.</w:t>
      </w:r>
    </w:p>
    <w:p w14:paraId="0C01E25B" w14:textId="77777777" w:rsidR="00E72144" w:rsidRDefault="00E72144" w:rsidP="00E72144">
      <w:pPr>
        <w:spacing w:before="120" w:after="120"/>
        <w:contextualSpacing/>
        <w:jc w:val="both"/>
        <w:rPr>
          <w:rFonts w:ascii="Century Gothic" w:hAnsi="Century Gothic"/>
        </w:rPr>
      </w:pPr>
    </w:p>
    <w:p w14:paraId="3F557F12" w14:textId="0309D352" w:rsidR="00E72144" w:rsidRDefault="007812CD" w:rsidP="00E72144">
      <w:pPr>
        <w:spacing w:before="120" w:after="120"/>
        <w:contextualSpacing/>
        <w:jc w:val="both"/>
        <w:rPr>
          <w:rFonts w:ascii="Century Gothic" w:hAnsi="Century Gothic"/>
        </w:rPr>
      </w:pPr>
      <w:r>
        <w:rPr>
          <w:rFonts w:ascii="Century Gothic" w:hAnsi="Century Gothic"/>
        </w:rPr>
        <w:t>Level 2 assets which are lower in quality as compared to Level 1 assets</w:t>
      </w:r>
      <w:r>
        <w:rPr>
          <w:rFonts w:ascii="Century Gothic" w:hAnsi="Century Gothic"/>
        </w:rPr>
        <w:t xml:space="preserve">. </w:t>
      </w:r>
      <w:r w:rsidR="00323D57">
        <w:rPr>
          <w:rFonts w:ascii="Century Gothic" w:hAnsi="Century Gothic"/>
        </w:rPr>
        <w:t>Bank is having low reliance on Level 2 assets. Hence, 2A, 2B Assets having higher hair cut as compared to the Level 1 A</w:t>
      </w:r>
      <w:r>
        <w:rPr>
          <w:rFonts w:ascii="Century Gothic" w:hAnsi="Century Gothic"/>
        </w:rPr>
        <w:t>sset constituting</w:t>
      </w:r>
      <w:r>
        <w:rPr>
          <w:rFonts w:ascii="Century Gothic" w:hAnsi="Century Gothic"/>
        </w:rPr>
        <w:t xml:space="preserve"> 0.19</w:t>
      </w:r>
      <w:r w:rsidRPr="00840326">
        <w:rPr>
          <w:rFonts w:ascii="Century Gothic" w:hAnsi="Century Gothic"/>
        </w:rPr>
        <w:t>%</w:t>
      </w:r>
      <w:r>
        <w:rPr>
          <w:rFonts w:ascii="Century Gothic" w:hAnsi="Century Gothic"/>
        </w:rPr>
        <w:t xml:space="preserve"> of the total </w:t>
      </w:r>
      <w:r>
        <w:rPr>
          <w:rFonts w:ascii="Century Gothic" w:hAnsi="Century Gothic"/>
        </w:rPr>
        <w:t>weighted</w:t>
      </w:r>
      <w:r>
        <w:rPr>
          <w:rFonts w:ascii="Century Gothic" w:hAnsi="Century Gothic"/>
        </w:rPr>
        <w:t xml:space="preserve"> HQLA as on 30.06.2025 against maximum permissible level of 40%.  </w:t>
      </w:r>
    </w:p>
    <w:p w14:paraId="4DF8B05A" w14:textId="77777777" w:rsidR="00E72144" w:rsidRDefault="00E72144" w:rsidP="00E72144">
      <w:pPr>
        <w:spacing w:before="120" w:after="120"/>
        <w:contextualSpacing/>
        <w:jc w:val="both"/>
        <w:rPr>
          <w:rFonts w:ascii="Century Gothic" w:hAnsi="Century Gothic"/>
        </w:rPr>
      </w:pPr>
    </w:p>
    <w:p w14:paraId="58924C3A" w14:textId="77777777" w:rsidR="00E72144" w:rsidRDefault="00E72144" w:rsidP="00E72144">
      <w:pPr>
        <w:spacing w:before="120" w:after="120"/>
        <w:contextualSpacing/>
        <w:jc w:val="both"/>
        <w:rPr>
          <w:rFonts w:ascii="Century Gothic" w:hAnsi="Century Gothic"/>
        </w:rPr>
      </w:pPr>
      <w:r w:rsidRPr="002E2DA7">
        <w:rPr>
          <w:rFonts w:ascii="Century Gothic" w:hAnsi="Century Gothic"/>
          <w:b/>
          <w:bCs/>
        </w:rPr>
        <w:t>Concentration of Funding Sources:</w:t>
      </w:r>
      <w:r>
        <w:rPr>
          <w:rFonts w:ascii="Century Gothic" w:hAnsi="Century Gothic"/>
        </w:rPr>
        <w:t xml:space="preserve"> Our Funding sources is well</w:t>
      </w:r>
      <w:r w:rsidRPr="009E3580">
        <w:rPr>
          <w:rFonts w:ascii="Century Gothic" w:hAnsi="Century Gothic"/>
        </w:rPr>
        <w:t xml:space="preserve"> diversified comprising main</w:t>
      </w:r>
      <w:r>
        <w:rPr>
          <w:rFonts w:ascii="Century Gothic" w:hAnsi="Century Gothic"/>
        </w:rPr>
        <w:t xml:space="preserve">ly </w:t>
      </w:r>
      <w:proofErr w:type="gramStart"/>
      <w:r>
        <w:rPr>
          <w:rFonts w:ascii="Century Gothic" w:hAnsi="Century Gothic"/>
        </w:rPr>
        <w:t>of :</w:t>
      </w:r>
      <w:proofErr w:type="gramEnd"/>
    </w:p>
    <w:p w14:paraId="7F833D9C" w14:textId="77777777" w:rsidR="00E72144" w:rsidRPr="009E3580" w:rsidRDefault="00E72144" w:rsidP="00E72144">
      <w:pPr>
        <w:pStyle w:val="ListParagraph"/>
        <w:numPr>
          <w:ilvl w:val="0"/>
          <w:numId w:val="10"/>
        </w:numPr>
        <w:spacing w:before="120" w:after="120"/>
        <w:contextualSpacing/>
        <w:jc w:val="both"/>
        <w:rPr>
          <w:rFonts w:ascii="Century Gothic" w:hAnsi="Century Gothic"/>
          <w:sz w:val="22"/>
          <w:szCs w:val="22"/>
        </w:rPr>
      </w:pPr>
      <w:r w:rsidRPr="009E3580">
        <w:rPr>
          <w:rFonts w:ascii="Century Gothic" w:hAnsi="Century Gothic"/>
        </w:rPr>
        <w:t xml:space="preserve">Non-maturing deposits </w:t>
      </w:r>
      <w:r>
        <w:rPr>
          <w:rFonts w:ascii="Century Gothic" w:hAnsi="Century Gothic"/>
        </w:rPr>
        <w:t>(Current Deposit/ Saving Deposit)</w:t>
      </w:r>
    </w:p>
    <w:p w14:paraId="68DF8321" w14:textId="77777777" w:rsidR="00E72144" w:rsidRPr="002E2DA7" w:rsidRDefault="00E72144" w:rsidP="00E72144">
      <w:pPr>
        <w:pStyle w:val="ListParagraph"/>
        <w:numPr>
          <w:ilvl w:val="0"/>
          <w:numId w:val="10"/>
        </w:numPr>
        <w:spacing w:before="120" w:after="120"/>
        <w:contextualSpacing/>
        <w:jc w:val="both"/>
        <w:rPr>
          <w:rFonts w:ascii="Century Gothic" w:hAnsi="Century Gothic"/>
          <w:sz w:val="22"/>
          <w:szCs w:val="22"/>
        </w:rPr>
      </w:pPr>
      <w:r w:rsidRPr="009E3580">
        <w:rPr>
          <w:rFonts w:ascii="Century Gothic" w:hAnsi="Century Gothic"/>
        </w:rPr>
        <w:t>Term Deposit of which majority portion is from Retail Customers</w:t>
      </w:r>
      <w:r>
        <w:rPr>
          <w:rFonts w:ascii="Century Gothic" w:hAnsi="Century Gothic"/>
        </w:rPr>
        <w:t>.</w:t>
      </w:r>
    </w:p>
    <w:p w14:paraId="61B673C2" w14:textId="77777777" w:rsidR="00E72144" w:rsidRPr="00930315" w:rsidRDefault="00E72144" w:rsidP="00E72144">
      <w:pPr>
        <w:spacing w:before="120" w:after="120"/>
        <w:contextualSpacing/>
        <w:jc w:val="both"/>
        <w:rPr>
          <w:rFonts w:ascii="Century Gothic" w:hAnsi="Century Gothic"/>
        </w:rPr>
      </w:pPr>
    </w:p>
    <w:p w14:paraId="2F83D376" w14:textId="03EEAA46" w:rsidR="00E72144" w:rsidRDefault="00E72144" w:rsidP="00E72144">
      <w:pPr>
        <w:spacing w:before="120" w:after="120"/>
        <w:contextualSpacing/>
        <w:jc w:val="both"/>
        <w:rPr>
          <w:rFonts w:ascii="Century Gothic" w:hAnsi="Century Gothic"/>
        </w:rPr>
      </w:pPr>
      <w:r w:rsidRPr="00930315">
        <w:rPr>
          <w:rFonts w:ascii="Century Gothic" w:hAnsi="Century Gothic"/>
          <w:b/>
          <w:bCs/>
        </w:rPr>
        <w:t>Funding Profile</w:t>
      </w:r>
      <w:r>
        <w:rPr>
          <w:rFonts w:ascii="Century Gothic" w:hAnsi="Century Gothic"/>
          <w:b/>
          <w:bCs/>
        </w:rPr>
        <w:t>:</w:t>
      </w:r>
      <w:r w:rsidRPr="00930315">
        <w:rPr>
          <w:rFonts w:ascii="Century Gothic" w:hAnsi="Century Gothic"/>
        </w:rPr>
        <w:t xml:space="preserve"> </w:t>
      </w:r>
      <w:r w:rsidRPr="00B420F1">
        <w:rPr>
          <w:rFonts w:ascii="Century Gothic" w:hAnsi="Century Gothic"/>
        </w:rPr>
        <w:t xml:space="preserve">Retail Deposits </w:t>
      </w:r>
      <w:r>
        <w:rPr>
          <w:rFonts w:ascii="Century Gothic" w:hAnsi="Century Gothic"/>
        </w:rPr>
        <w:t xml:space="preserve">along with </w:t>
      </w:r>
      <w:r w:rsidRPr="00B420F1">
        <w:rPr>
          <w:rFonts w:ascii="Century Gothic" w:hAnsi="Century Gothic"/>
        </w:rPr>
        <w:t xml:space="preserve">Deposits from Small Business Customer put together contribute </w:t>
      </w:r>
      <w:r w:rsidRPr="0013701B">
        <w:rPr>
          <w:rFonts w:ascii="Century Gothic" w:hAnsi="Century Gothic"/>
        </w:rPr>
        <w:t xml:space="preserve">around </w:t>
      </w:r>
      <w:r w:rsidR="0013701B" w:rsidRPr="0013701B">
        <w:rPr>
          <w:rFonts w:ascii="Century Gothic" w:hAnsi="Century Gothic"/>
        </w:rPr>
        <w:t>33.96</w:t>
      </w:r>
      <w:r w:rsidRPr="0013701B">
        <w:rPr>
          <w:rFonts w:ascii="Century Gothic" w:hAnsi="Century Gothic"/>
        </w:rPr>
        <w:t>% of total weighted Cash outflow (</w:t>
      </w:r>
      <w:r w:rsidR="0013701B" w:rsidRPr="0013701B">
        <w:rPr>
          <w:rFonts w:ascii="Century Gothic" w:hAnsi="Century Gothic"/>
        </w:rPr>
        <w:t>63</w:t>
      </w:r>
      <w:r w:rsidRPr="0013701B">
        <w:rPr>
          <w:rFonts w:ascii="Century Gothic" w:hAnsi="Century Gothic"/>
        </w:rPr>
        <w:t>.</w:t>
      </w:r>
      <w:r w:rsidR="0013701B" w:rsidRPr="0013701B">
        <w:rPr>
          <w:rFonts w:ascii="Century Gothic" w:hAnsi="Century Gothic"/>
        </w:rPr>
        <w:t>07</w:t>
      </w:r>
      <w:r w:rsidRPr="0013701B">
        <w:rPr>
          <w:rFonts w:ascii="Century Gothic" w:hAnsi="Century Gothic"/>
        </w:rPr>
        <w:t>% of total un-weighted</w:t>
      </w:r>
      <w:r w:rsidR="00C02143" w:rsidRPr="0013701B">
        <w:rPr>
          <w:rFonts w:ascii="Century Gothic" w:hAnsi="Century Gothic"/>
        </w:rPr>
        <w:t xml:space="preserve"> Cash outflow) as on 30</w:t>
      </w:r>
      <w:r w:rsidRPr="0013701B">
        <w:rPr>
          <w:rFonts w:ascii="Century Gothic" w:hAnsi="Century Gothic"/>
        </w:rPr>
        <w:t>.</w:t>
      </w:r>
      <w:r w:rsidR="00C02143" w:rsidRPr="00DF73E4">
        <w:rPr>
          <w:rFonts w:ascii="Century Gothic" w:hAnsi="Century Gothic"/>
        </w:rPr>
        <w:t>06</w:t>
      </w:r>
      <w:r w:rsidRPr="00DF73E4">
        <w:rPr>
          <w:rFonts w:ascii="Century Gothic" w:hAnsi="Century Gothic"/>
        </w:rPr>
        <w:t xml:space="preserve">.2025. Deposits from Non-financial Corporates, Central Banks, Multilateral development banks and PSEs contribute to </w:t>
      </w:r>
      <w:r w:rsidR="00DF73E4" w:rsidRPr="00DF73E4">
        <w:rPr>
          <w:rFonts w:ascii="Century Gothic" w:hAnsi="Century Gothic"/>
        </w:rPr>
        <w:t>36.64</w:t>
      </w:r>
      <w:r w:rsidRPr="00DF73E4">
        <w:rPr>
          <w:rFonts w:ascii="Century Gothic" w:hAnsi="Century Gothic"/>
        </w:rPr>
        <w:t>% of total weighted Cash outflows (</w:t>
      </w:r>
      <w:r w:rsidR="00DF73E4" w:rsidRPr="00DF73E4">
        <w:rPr>
          <w:rFonts w:ascii="Century Gothic" w:hAnsi="Century Gothic"/>
        </w:rPr>
        <w:t>16.9</w:t>
      </w:r>
      <w:r w:rsidRPr="00DF73E4">
        <w:rPr>
          <w:rFonts w:ascii="Century Gothic" w:hAnsi="Century Gothic"/>
        </w:rPr>
        <w:t>4% of total un-weighted Cash outflows) as on 3</w:t>
      </w:r>
      <w:r w:rsidR="00C02143" w:rsidRPr="00DF73E4">
        <w:rPr>
          <w:rFonts w:ascii="Century Gothic" w:hAnsi="Century Gothic"/>
        </w:rPr>
        <w:t>0.06</w:t>
      </w:r>
      <w:r w:rsidRPr="00DF73E4">
        <w:rPr>
          <w:rFonts w:ascii="Century Gothic" w:hAnsi="Century Gothic"/>
        </w:rPr>
        <w:t>.2025.</w:t>
      </w:r>
    </w:p>
    <w:p w14:paraId="6F54249D" w14:textId="77777777" w:rsidR="00E72144" w:rsidRPr="00930315" w:rsidRDefault="00E72144" w:rsidP="00E72144">
      <w:pPr>
        <w:spacing w:before="120" w:after="120"/>
        <w:contextualSpacing/>
        <w:jc w:val="both"/>
        <w:rPr>
          <w:rFonts w:ascii="Century Gothic" w:hAnsi="Century Gothic"/>
        </w:rPr>
      </w:pPr>
    </w:p>
    <w:p w14:paraId="0A0D9792" w14:textId="210BBD64" w:rsidR="00E72144" w:rsidRPr="002E4E83" w:rsidRDefault="00E72144" w:rsidP="00E72144">
      <w:pPr>
        <w:spacing w:before="120" w:after="120"/>
        <w:contextualSpacing/>
        <w:jc w:val="both"/>
        <w:rPr>
          <w:rFonts w:ascii="Century Gothic" w:hAnsi="Century Gothic"/>
        </w:rPr>
      </w:pPr>
      <w:r w:rsidRPr="002E4E83">
        <w:rPr>
          <w:rFonts w:ascii="Century Gothic" w:hAnsi="Century Gothic"/>
        </w:rPr>
        <w:t xml:space="preserve">The percentage of </w:t>
      </w:r>
      <w:proofErr w:type="spellStart"/>
      <w:r w:rsidRPr="002E4E83">
        <w:rPr>
          <w:rFonts w:ascii="Century Gothic" w:hAnsi="Century Gothic"/>
        </w:rPr>
        <w:t>Unweighted</w:t>
      </w:r>
      <w:proofErr w:type="spellEnd"/>
      <w:r w:rsidRPr="002E4E83">
        <w:rPr>
          <w:rFonts w:ascii="Century Gothic" w:hAnsi="Century Gothic"/>
        </w:rPr>
        <w:t xml:space="preserve"> </w:t>
      </w:r>
      <w:r>
        <w:rPr>
          <w:rFonts w:ascii="Century Gothic" w:hAnsi="Century Gothic"/>
        </w:rPr>
        <w:t xml:space="preserve">Liability from </w:t>
      </w:r>
      <w:r w:rsidRPr="002E4E83">
        <w:rPr>
          <w:rFonts w:ascii="Century Gothic" w:hAnsi="Century Gothic"/>
        </w:rPr>
        <w:t>Other Legal entity to Total Un</w:t>
      </w:r>
      <w:r>
        <w:rPr>
          <w:rFonts w:ascii="Century Gothic" w:hAnsi="Century Gothic"/>
        </w:rPr>
        <w:t>-</w:t>
      </w:r>
      <w:r w:rsidRPr="002E4E83">
        <w:rPr>
          <w:rFonts w:ascii="Century Gothic" w:hAnsi="Century Gothic"/>
        </w:rPr>
        <w:t xml:space="preserve">weighted Cash outflows </w:t>
      </w:r>
      <w:r w:rsidR="00996B54">
        <w:rPr>
          <w:rFonts w:ascii="Century Gothic" w:hAnsi="Century Gothic"/>
        </w:rPr>
        <w:t xml:space="preserve">stood </w:t>
      </w:r>
      <w:r w:rsidR="00996B54" w:rsidRPr="00A36AF8">
        <w:rPr>
          <w:rFonts w:ascii="Century Gothic" w:hAnsi="Century Gothic"/>
        </w:rPr>
        <w:t xml:space="preserve">at </w:t>
      </w:r>
      <w:r w:rsidR="00A36AF8" w:rsidRPr="00A36AF8">
        <w:rPr>
          <w:rFonts w:ascii="Century Gothic" w:hAnsi="Century Gothic"/>
        </w:rPr>
        <w:t>3.03</w:t>
      </w:r>
      <w:r w:rsidR="00996B54" w:rsidRPr="00A36AF8">
        <w:rPr>
          <w:rFonts w:ascii="Century Gothic" w:hAnsi="Century Gothic"/>
        </w:rPr>
        <w:t>% as on 30.06</w:t>
      </w:r>
      <w:r w:rsidRPr="00A36AF8">
        <w:rPr>
          <w:rFonts w:ascii="Century Gothic" w:hAnsi="Century Gothic"/>
        </w:rPr>
        <w:t>.2025</w:t>
      </w:r>
      <w:r w:rsidRPr="002E4E83">
        <w:rPr>
          <w:rFonts w:ascii="Century Gothic" w:hAnsi="Century Gothic"/>
        </w:rPr>
        <w:t>.</w:t>
      </w:r>
    </w:p>
    <w:p w14:paraId="467C6B2B" w14:textId="77777777" w:rsidR="00E72144" w:rsidRPr="002E4E83" w:rsidRDefault="00E72144" w:rsidP="00E72144">
      <w:pPr>
        <w:spacing w:before="120" w:after="120"/>
        <w:contextualSpacing/>
        <w:jc w:val="both"/>
        <w:rPr>
          <w:rFonts w:ascii="Century Gothic" w:hAnsi="Century Gothic"/>
        </w:rPr>
      </w:pPr>
    </w:p>
    <w:p w14:paraId="2E283421" w14:textId="2BCCEF1C" w:rsidR="00E72144" w:rsidRDefault="00323D57" w:rsidP="00E72144">
      <w:pPr>
        <w:spacing w:before="120" w:after="120"/>
        <w:contextualSpacing/>
        <w:jc w:val="both"/>
        <w:rPr>
          <w:rFonts w:ascii="Century Gothic" w:hAnsi="Century Gothic"/>
        </w:rPr>
      </w:pPr>
      <w:r>
        <w:rPr>
          <w:rFonts w:ascii="Century Gothic" w:hAnsi="Century Gothic"/>
        </w:rPr>
        <w:t>Bank ha</w:t>
      </w:r>
      <w:r w:rsidR="00E72144" w:rsidRPr="002E4E83">
        <w:rPr>
          <w:rFonts w:ascii="Century Gothic" w:hAnsi="Century Gothic"/>
        </w:rPr>
        <w:t xml:space="preserve">s </w:t>
      </w:r>
      <w:r>
        <w:rPr>
          <w:rFonts w:ascii="Century Gothic" w:hAnsi="Century Gothic"/>
        </w:rPr>
        <w:t xml:space="preserve">ceiling limit capped for sources of Deposit profile as per LCR categories. Bank is also </w:t>
      </w:r>
      <w:r w:rsidR="00E72144" w:rsidRPr="002E4E83">
        <w:rPr>
          <w:rFonts w:ascii="Century Gothic" w:hAnsi="Century Gothic"/>
        </w:rPr>
        <w:t xml:space="preserve">monitoring the funding sources on regular interval with the objective to monitor/reduce the concentration of funds having lower stability. </w:t>
      </w:r>
      <w:r w:rsidR="00D04876" w:rsidRPr="002E4E83">
        <w:rPr>
          <w:rFonts w:ascii="Century Gothic" w:hAnsi="Century Gothic"/>
        </w:rPr>
        <w:t>Bank also monitors the concentration of top 20 depositors on regular intervals.</w:t>
      </w:r>
      <w:r>
        <w:rPr>
          <w:rFonts w:ascii="Century Gothic" w:hAnsi="Century Gothic"/>
        </w:rPr>
        <w:t xml:space="preserve"> Bank is also conducting Stress testing and Reverse Stress testing based on LCR.</w:t>
      </w:r>
    </w:p>
    <w:p w14:paraId="483C5D6B" w14:textId="3588429B" w:rsidR="00E72144" w:rsidRPr="00455331" w:rsidRDefault="00E72144" w:rsidP="00E72144">
      <w:pPr>
        <w:spacing w:before="120" w:after="120"/>
        <w:contextualSpacing/>
        <w:jc w:val="both"/>
        <w:rPr>
          <w:rFonts w:ascii="Century Gothic" w:hAnsi="Century Gothic"/>
          <w:b/>
          <w:bCs/>
        </w:rPr>
      </w:pPr>
      <w:r w:rsidRPr="00455331">
        <w:rPr>
          <w:rFonts w:ascii="Century Gothic" w:hAnsi="Century Gothic"/>
          <w:b/>
          <w:bCs/>
        </w:rPr>
        <w:lastRenderedPageBreak/>
        <w:t xml:space="preserve">Bank has also placed </w:t>
      </w:r>
      <w:r w:rsidR="00D15AE7">
        <w:rPr>
          <w:rFonts w:ascii="Century Gothic" w:hAnsi="Century Gothic"/>
          <w:b/>
          <w:bCs/>
        </w:rPr>
        <w:t xml:space="preserve">Internal </w:t>
      </w:r>
      <w:r>
        <w:rPr>
          <w:rFonts w:ascii="Century Gothic" w:hAnsi="Century Gothic"/>
          <w:b/>
          <w:bCs/>
        </w:rPr>
        <w:t xml:space="preserve">Risk </w:t>
      </w:r>
      <w:r w:rsidRPr="00455331">
        <w:rPr>
          <w:rFonts w:ascii="Century Gothic" w:hAnsi="Century Gothic"/>
          <w:b/>
          <w:bCs/>
        </w:rPr>
        <w:t xml:space="preserve">limit </w:t>
      </w:r>
      <w:r w:rsidR="00D15AE7">
        <w:rPr>
          <w:rFonts w:ascii="Century Gothic" w:hAnsi="Century Gothic"/>
          <w:b/>
          <w:bCs/>
        </w:rPr>
        <w:t xml:space="preserve">of 105% </w:t>
      </w:r>
      <w:r w:rsidRPr="00455331">
        <w:rPr>
          <w:rFonts w:ascii="Century Gothic" w:hAnsi="Century Gothic"/>
          <w:b/>
          <w:bCs/>
        </w:rPr>
        <w:t xml:space="preserve">which is above the minimum regulatory requirement of 100% so that the Bank </w:t>
      </w:r>
      <w:r>
        <w:rPr>
          <w:rFonts w:ascii="Century Gothic" w:hAnsi="Century Gothic"/>
          <w:b/>
          <w:bCs/>
        </w:rPr>
        <w:t>initiate corrective actions to ensure that Bank LCR remains above Regulatory ceiling of 100%.</w:t>
      </w:r>
    </w:p>
    <w:p w14:paraId="4ED8AA10" w14:textId="77777777" w:rsidR="00E72144" w:rsidRDefault="00E72144" w:rsidP="00E72144">
      <w:pPr>
        <w:spacing w:before="120" w:after="120"/>
        <w:contextualSpacing/>
        <w:jc w:val="both"/>
        <w:rPr>
          <w:rFonts w:ascii="Century Gothic" w:hAnsi="Century Gothic"/>
        </w:rPr>
      </w:pPr>
    </w:p>
    <w:p w14:paraId="6900F9A2" w14:textId="418AB49F" w:rsidR="00E72144" w:rsidRDefault="00E72144" w:rsidP="00E72144">
      <w:pPr>
        <w:spacing w:before="120" w:after="120"/>
        <w:contextualSpacing/>
        <w:jc w:val="both"/>
        <w:rPr>
          <w:rFonts w:ascii="Century Gothic" w:hAnsi="Century Gothic"/>
        </w:rPr>
      </w:pPr>
      <w:r>
        <w:rPr>
          <w:rFonts w:ascii="Century Gothic" w:hAnsi="Century Gothic"/>
        </w:rPr>
        <w:t>Bank has framed Asset Liability Management Policy to manage Liquidity Risk and regulatory guidelines. Bank is monitoring both RBI prescribed and internally described Stock Ratios to review the liquidity position of the Bank. ALCO reviews</w:t>
      </w:r>
      <w:r w:rsidR="00477679">
        <w:rPr>
          <w:rFonts w:ascii="Century Gothic" w:hAnsi="Century Gothic"/>
        </w:rPr>
        <w:t xml:space="preserve"> the liquidity position of the B</w:t>
      </w:r>
      <w:r>
        <w:rPr>
          <w:rFonts w:ascii="Century Gothic" w:hAnsi="Century Gothic"/>
        </w:rPr>
        <w:t xml:space="preserve">ank. Bank has also prescribed Stress Scenario based on Liquidity Coverage Ratio in the Stress Test Policy of </w:t>
      </w:r>
      <w:r w:rsidR="00F677CD">
        <w:rPr>
          <w:rFonts w:ascii="Century Gothic" w:hAnsi="Century Gothic"/>
        </w:rPr>
        <w:t>the B</w:t>
      </w:r>
      <w:bookmarkStart w:id="0" w:name="_GoBack"/>
      <w:bookmarkEnd w:id="0"/>
      <w:r>
        <w:rPr>
          <w:rFonts w:ascii="Century Gothic" w:hAnsi="Century Gothic"/>
        </w:rPr>
        <w:t>ank.</w:t>
      </w:r>
    </w:p>
    <w:p w14:paraId="2BBB588A" w14:textId="69FC0862" w:rsidR="002E2DA7" w:rsidRPr="002E2DA7" w:rsidRDefault="002E2DA7" w:rsidP="00E72144">
      <w:pPr>
        <w:jc w:val="both"/>
        <w:rPr>
          <w:rFonts w:ascii="Century Gothic" w:hAnsi="Century Gothic"/>
          <w:sz w:val="22"/>
          <w:szCs w:val="22"/>
        </w:rPr>
      </w:pPr>
    </w:p>
    <w:sectPr w:rsidR="002E2DA7" w:rsidRPr="002E2DA7" w:rsidSect="005460D7">
      <w:footerReference w:type="default" r:id="rId8"/>
      <w:pgSz w:w="11906" w:h="16838"/>
      <w:pgMar w:top="1440" w:right="851" w:bottom="107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79838" w14:textId="77777777" w:rsidR="00D00E2D" w:rsidRDefault="00D00E2D" w:rsidP="005460D7">
      <w:r>
        <w:separator/>
      </w:r>
    </w:p>
  </w:endnote>
  <w:endnote w:type="continuationSeparator" w:id="0">
    <w:p w14:paraId="711F8D0D" w14:textId="77777777" w:rsidR="00D00E2D" w:rsidRDefault="00D00E2D" w:rsidP="0054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947426"/>
      <w:docPartObj>
        <w:docPartGallery w:val="Page Numbers (Bottom of Page)"/>
        <w:docPartUnique/>
      </w:docPartObj>
    </w:sdtPr>
    <w:sdtEndPr>
      <w:rPr>
        <w:noProof/>
      </w:rPr>
    </w:sdtEndPr>
    <w:sdtContent>
      <w:p w14:paraId="60D51989" w14:textId="6D72C4B4" w:rsidR="005460D7" w:rsidRDefault="005460D7">
        <w:pPr>
          <w:pStyle w:val="Footer"/>
          <w:jc w:val="center"/>
        </w:pPr>
        <w:r>
          <w:fldChar w:fldCharType="begin"/>
        </w:r>
        <w:r>
          <w:instrText xml:space="preserve"> PAGE   \* MERGEFORMAT </w:instrText>
        </w:r>
        <w:r>
          <w:fldChar w:fldCharType="separate"/>
        </w:r>
        <w:r w:rsidR="00F677CD">
          <w:rPr>
            <w:noProof/>
          </w:rPr>
          <w:t>4</w:t>
        </w:r>
        <w:r>
          <w:rPr>
            <w:noProof/>
          </w:rPr>
          <w:fldChar w:fldCharType="end"/>
        </w:r>
      </w:p>
    </w:sdtContent>
  </w:sdt>
  <w:p w14:paraId="7A5D03A5" w14:textId="77777777" w:rsidR="005460D7" w:rsidRDefault="00546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BD51C" w14:textId="77777777" w:rsidR="00D00E2D" w:rsidRDefault="00D00E2D" w:rsidP="005460D7">
      <w:r>
        <w:separator/>
      </w:r>
    </w:p>
  </w:footnote>
  <w:footnote w:type="continuationSeparator" w:id="0">
    <w:p w14:paraId="06D62E85" w14:textId="77777777" w:rsidR="00D00E2D" w:rsidRDefault="00D00E2D" w:rsidP="00546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0D2"/>
    <w:multiLevelType w:val="hybridMultilevel"/>
    <w:tmpl w:val="4E8221EC"/>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172B4D"/>
    <w:multiLevelType w:val="hybridMultilevel"/>
    <w:tmpl w:val="A7A87926"/>
    <w:lvl w:ilvl="0" w:tplc="0409000F">
      <w:start w:val="1"/>
      <w:numFmt w:val="decimal"/>
      <w:lvlText w:val="%1."/>
      <w:lvlJc w:val="lef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2">
    <w:nsid w:val="12225902"/>
    <w:multiLevelType w:val="hybridMultilevel"/>
    <w:tmpl w:val="F280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F4DA8"/>
    <w:multiLevelType w:val="hybridMultilevel"/>
    <w:tmpl w:val="62A6D906"/>
    <w:lvl w:ilvl="0" w:tplc="FD5C738C">
      <w:start w:val="1"/>
      <w:numFmt w:val="decimal"/>
      <w:lvlText w:val="%1."/>
      <w:lvlJc w:val="left"/>
      <w:pPr>
        <w:ind w:left="1080" w:hanging="360"/>
      </w:pPr>
      <w:rPr>
        <w:rFonts w:hint="default"/>
      </w:rPr>
    </w:lvl>
    <w:lvl w:ilvl="1" w:tplc="3E8C02B8">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45166E5"/>
    <w:multiLevelType w:val="hybridMultilevel"/>
    <w:tmpl w:val="C10A47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C77389"/>
    <w:multiLevelType w:val="hybridMultilevel"/>
    <w:tmpl w:val="1562B1B8"/>
    <w:lvl w:ilvl="0" w:tplc="FC54EBF0">
      <w:start w:val="1"/>
      <w:numFmt w:val="low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2B7B71"/>
    <w:multiLevelType w:val="hybridMultilevel"/>
    <w:tmpl w:val="BC9A06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DE3E30"/>
    <w:multiLevelType w:val="hybridMultilevel"/>
    <w:tmpl w:val="F790E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9845CF3"/>
    <w:multiLevelType w:val="hybridMultilevel"/>
    <w:tmpl w:val="1562B1B8"/>
    <w:lvl w:ilvl="0" w:tplc="FC54EBF0">
      <w:start w:val="1"/>
      <w:numFmt w:val="low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88F7691"/>
    <w:multiLevelType w:val="hybridMultilevel"/>
    <w:tmpl w:val="8F3EE054"/>
    <w:lvl w:ilvl="0" w:tplc="4009000F">
      <w:start w:val="1"/>
      <w:numFmt w:val="decimal"/>
      <w:lvlText w:val="%1."/>
      <w:lvlJc w:val="left"/>
      <w:pPr>
        <w:ind w:left="99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5"/>
  </w:num>
  <w:num w:numId="3">
    <w:abstractNumId w:val="9"/>
  </w:num>
  <w:num w:numId="4">
    <w:abstractNumId w:val="0"/>
  </w:num>
  <w:num w:numId="5">
    <w:abstractNumId w:val="3"/>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18"/>
    <w:rsid w:val="0000283F"/>
    <w:rsid w:val="00002942"/>
    <w:rsid w:val="00002F04"/>
    <w:rsid w:val="00007A42"/>
    <w:rsid w:val="00017E91"/>
    <w:rsid w:val="00024AE1"/>
    <w:rsid w:val="00026F8B"/>
    <w:rsid w:val="00031BC9"/>
    <w:rsid w:val="00034A05"/>
    <w:rsid w:val="00041641"/>
    <w:rsid w:val="000538C9"/>
    <w:rsid w:val="00063452"/>
    <w:rsid w:val="000647A1"/>
    <w:rsid w:val="00076D33"/>
    <w:rsid w:val="00083226"/>
    <w:rsid w:val="000856AD"/>
    <w:rsid w:val="00087DB8"/>
    <w:rsid w:val="00091E78"/>
    <w:rsid w:val="000A0186"/>
    <w:rsid w:val="000A2B24"/>
    <w:rsid w:val="000A58FC"/>
    <w:rsid w:val="000B66F7"/>
    <w:rsid w:val="000D417B"/>
    <w:rsid w:val="000E25A5"/>
    <w:rsid w:val="000E2CA4"/>
    <w:rsid w:val="000E4435"/>
    <w:rsid w:val="000E5828"/>
    <w:rsid w:val="000F531A"/>
    <w:rsid w:val="00101484"/>
    <w:rsid w:val="001033AB"/>
    <w:rsid w:val="0011116D"/>
    <w:rsid w:val="001222F1"/>
    <w:rsid w:val="00122B21"/>
    <w:rsid w:val="0013701B"/>
    <w:rsid w:val="001404A3"/>
    <w:rsid w:val="00140BEE"/>
    <w:rsid w:val="00147321"/>
    <w:rsid w:val="001508EC"/>
    <w:rsid w:val="001550D9"/>
    <w:rsid w:val="00170CBD"/>
    <w:rsid w:val="00176117"/>
    <w:rsid w:val="001773CA"/>
    <w:rsid w:val="001851D3"/>
    <w:rsid w:val="00191DC0"/>
    <w:rsid w:val="00193633"/>
    <w:rsid w:val="001C0800"/>
    <w:rsid w:val="001C438B"/>
    <w:rsid w:val="001C62AF"/>
    <w:rsid w:val="001D217E"/>
    <w:rsid w:val="001E45B1"/>
    <w:rsid w:val="001F3AAE"/>
    <w:rsid w:val="00212A4D"/>
    <w:rsid w:val="0022489C"/>
    <w:rsid w:val="0022624A"/>
    <w:rsid w:val="00243B7E"/>
    <w:rsid w:val="00246B5D"/>
    <w:rsid w:val="00251971"/>
    <w:rsid w:val="00254259"/>
    <w:rsid w:val="002606E0"/>
    <w:rsid w:val="00263A71"/>
    <w:rsid w:val="00264044"/>
    <w:rsid w:val="002650F2"/>
    <w:rsid w:val="002727D4"/>
    <w:rsid w:val="00272B53"/>
    <w:rsid w:val="0027716F"/>
    <w:rsid w:val="00280E43"/>
    <w:rsid w:val="00292A51"/>
    <w:rsid w:val="002B56B7"/>
    <w:rsid w:val="002B6924"/>
    <w:rsid w:val="002C410A"/>
    <w:rsid w:val="002D5666"/>
    <w:rsid w:val="002E2DA7"/>
    <w:rsid w:val="002E4E83"/>
    <w:rsid w:val="00305364"/>
    <w:rsid w:val="0031351B"/>
    <w:rsid w:val="00314819"/>
    <w:rsid w:val="0032291E"/>
    <w:rsid w:val="00323D57"/>
    <w:rsid w:val="003246D9"/>
    <w:rsid w:val="00331B08"/>
    <w:rsid w:val="003405CB"/>
    <w:rsid w:val="00342496"/>
    <w:rsid w:val="003573DB"/>
    <w:rsid w:val="00367797"/>
    <w:rsid w:val="00367FE2"/>
    <w:rsid w:val="00380610"/>
    <w:rsid w:val="00385081"/>
    <w:rsid w:val="00385D30"/>
    <w:rsid w:val="003954BD"/>
    <w:rsid w:val="003A140D"/>
    <w:rsid w:val="003C0AEB"/>
    <w:rsid w:val="003D4903"/>
    <w:rsid w:val="003E22F3"/>
    <w:rsid w:val="003E5EAF"/>
    <w:rsid w:val="0040052C"/>
    <w:rsid w:val="004061E6"/>
    <w:rsid w:val="004262DF"/>
    <w:rsid w:val="004340D0"/>
    <w:rsid w:val="00437094"/>
    <w:rsid w:val="00437114"/>
    <w:rsid w:val="00441C94"/>
    <w:rsid w:val="00460746"/>
    <w:rsid w:val="00460E8E"/>
    <w:rsid w:val="0046436E"/>
    <w:rsid w:val="00472AA3"/>
    <w:rsid w:val="00475988"/>
    <w:rsid w:val="00477679"/>
    <w:rsid w:val="004A03D9"/>
    <w:rsid w:val="004A11BC"/>
    <w:rsid w:val="004C0D3D"/>
    <w:rsid w:val="004C4D9D"/>
    <w:rsid w:val="004C758F"/>
    <w:rsid w:val="004C7679"/>
    <w:rsid w:val="004D00AF"/>
    <w:rsid w:val="004D0E7B"/>
    <w:rsid w:val="004D2410"/>
    <w:rsid w:val="004D2902"/>
    <w:rsid w:val="004D5229"/>
    <w:rsid w:val="004E1B0A"/>
    <w:rsid w:val="005008E6"/>
    <w:rsid w:val="00506981"/>
    <w:rsid w:val="005079C4"/>
    <w:rsid w:val="00510126"/>
    <w:rsid w:val="00513DC6"/>
    <w:rsid w:val="00514D9D"/>
    <w:rsid w:val="005158EE"/>
    <w:rsid w:val="00517CCF"/>
    <w:rsid w:val="00527862"/>
    <w:rsid w:val="00531E1B"/>
    <w:rsid w:val="005376BA"/>
    <w:rsid w:val="005460D7"/>
    <w:rsid w:val="005512D6"/>
    <w:rsid w:val="00551A9B"/>
    <w:rsid w:val="00561BF2"/>
    <w:rsid w:val="005629C9"/>
    <w:rsid w:val="005723B8"/>
    <w:rsid w:val="00573FCE"/>
    <w:rsid w:val="00575765"/>
    <w:rsid w:val="00585F67"/>
    <w:rsid w:val="00592E09"/>
    <w:rsid w:val="005972B3"/>
    <w:rsid w:val="005A397E"/>
    <w:rsid w:val="005B492B"/>
    <w:rsid w:val="005C4F5F"/>
    <w:rsid w:val="005D2221"/>
    <w:rsid w:val="005F1375"/>
    <w:rsid w:val="00600D20"/>
    <w:rsid w:val="00617111"/>
    <w:rsid w:val="00633D6A"/>
    <w:rsid w:val="00640A16"/>
    <w:rsid w:val="00666FD8"/>
    <w:rsid w:val="006759BA"/>
    <w:rsid w:val="00690417"/>
    <w:rsid w:val="00690447"/>
    <w:rsid w:val="006A3CAB"/>
    <w:rsid w:val="006B0225"/>
    <w:rsid w:val="006B12AD"/>
    <w:rsid w:val="006B3D76"/>
    <w:rsid w:val="006C38B7"/>
    <w:rsid w:val="006E12D6"/>
    <w:rsid w:val="006E6F2A"/>
    <w:rsid w:val="006E7567"/>
    <w:rsid w:val="006F409F"/>
    <w:rsid w:val="00701D5D"/>
    <w:rsid w:val="00703391"/>
    <w:rsid w:val="007171B6"/>
    <w:rsid w:val="00730AF3"/>
    <w:rsid w:val="0073171C"/>
    <w:rsid w:val="00734CC4"/>
    <w:rsid w:val="007372AD"/>
    <w:rsid w:val="00752644"/>
    <w:rsid w:val="00761941"/>
    <w:rsid w:val="00766F25"/>
    <w:rsid w:val="007812CD"/>
    <w:rsid w:val="00790867"/>
    <w:rsid w:val="00792C01"/>
    <w:rsid w:val="007941F5"/>
    <w:rsid w:val="007A01BC"/>
    <w:rsid w:val="007A3582"/>
    <w:rsid w:val="007B1BB3"/>
    <w:rsid w:val="007B2457"/>
    <w:rsid w:val="007B6035"/>
    <w:rsid w:val="007C677A"/>
    <w:rsid w:val="007E7301"/>
    <w:rsid w:val="007F2961"/>
    <w:rsid w:val="00801DB6"/>
    <w:rsid w:val="00815AC0"/>
    <w:rsid w:val="00824139"/>
    <w:rsid w:val="00824FA1"/>
    <w:rsid w:val="00840326"/>
    <w:rsid w:val="00852AD2"/>
    <w:rsid w:val="00871EB2"/>
    <w:rsid w:val="00875CBC"/>
    <w:rsid w:val="00880558"/>
    <w:rsid w:val="00883E17"/>
    <w:rsid w:val="00885D15"/>
    <w:rsid w:val="00894E19"/>
    <w:rsid w:val="008972E6"/>
    <w:rsid w:val="008A659F"/>
    <w:rsid w:val="008B6372"/>
    <w:rsid w:val="008D118C"/>
    <w:rsid w:val="008D2130"/>
    <w:rsid w:val="008E0A8A"/>
    <w:rsid w:val="00903CB3"/>
    <w:rsid w:val="00915147"/>
    <w:rsid w:val="0092662C"/>
    <w:rsid w:val="009267C9"/>
    <w:rsid w:val="00930315"/>
    <w:rsid w:val="009336EA"/>
    <w:rsid w:val="00937832"/>
    <w:rsid w:val="00944A5B"/>
    <w:rsid w:val="00951035"/>
    <w:rsid w:val="00973484"/>
    <w:rsid w:val="00975445"/>
    <w:rsid w:val="0098572A"/>
    <w:rsid w:val="00995A5E"/>
    <w:rsid w:val="00996B54"/>
    <w:rsid w:val="00997321"/>
    <w:rsid w:val="009C195E"/>
    <w:rsid w:val="009C65F1"/>
    <w:rsid w:val="009D521B"/>
    <w:rsid w:val="009D610E"/>
    <w:rsid w:val="009E3580"/>
    <w:rsid w:val="009E542E"/>
    <w:rsid w:val="009E58ED"/>
    <w:rsid w:val="009F2C74"/>
    <w:rsid w:val="009F5FA9"/>
    <w:rsid w:val="00A03097"/>
    <w:rsid w:val="00A22B42"/>
    <w:rsid w:val="00A2611D"/>
    <w:rsid w:val="00A36543"/>
    <w:rsid w:val="00A3656D"/>
    <w:rsid w:val="00A36AF8"/>
    <w:rsid w:val="00A372F9"/>
    <w:rsid w:val="00A5608C"/>
    <w:rsid w:val="00A605C5"/>
    <w:rsid w:val="00A6156E"/>
    <w:rsid w:val="00A64651"/>
    <w:rsid w:val="00A71DB3"/>
    <w:rsid w:val="00A73573"/>
    <w:rsid w:val="00A851F0"/>
    <w:rsid w:val="00A92814"/>
    <w:rsid w:val="00AA4CEF"/>
    <w:rsid w:val="00AA761A"/>
    <w:rsid w:val="00AB4FA6"/>
    <w:rsid w:val="00AB7F6C"/>
    <w:rsid w:val="00AD6D12"/>
    <w:rsid w:val="00AD6FCC"/>
    <w:rsid w:val="00AE1522"/>
    <w:rsid w:val="00AE34BF"/>
    <w:rsid w:val="00B033E9"/>
    <w:rsid w:val="00B10CF2"/>
    <w:rsid w:val="00B122BF"/>
    <w:rsid w:val="00B13837"/>
    <w:rsid w:val="00B17773"/>
    <w:rsid w:val="00B231D1"/>
    <w:rsid w:val="00B24575"/>
    <w:rsid w:val="00B41C1F"/>
    <w:rsid w:val="00B420F1"/>
    <w:rsid w:val="00B53503"/>
    <w:rsid w:val="00B55D6D"/>
    <w:rsid w:val="00B61837"/>
    <w:rsid w:val="00B965BF"/>
    <w:rsid w:val="00BC5854"/>
    <w:rsid w:val="00BF4545"/>
    <w:rsid w:val="00C02143"/>
    <w:rsid w:val="00C04C00"/>
    <w:rsid w:val="00C153BB"/>
    <w:rsid w:val="00C22F34"/>
    <w:rsid w:val="00C24C5E"/>
    <w:rsid w:val="00C3058B"/>
    <w:rsid w:val="00C33613"/>
    <w:rsid w:val="00C37C0E"/>
    <w:rsid w:val="00C45CF9"/>
    <w:rsid w:val="00C460C8"/>
    <w:rsid w:val="00C53CBD"/>
    <w:rsid w:val="00C55684"/>
    <w:rsid w:val="00C76342"/>
    <w:rsid w:val="00C813C4"/>
    <w:rsid w:val="00C86884"/>
    <w:rsid w:val="00C9145F"/>
    <w:rsid w:val="00CA7818"/>
    <w:rsid w:val="00CD1D02"/>
    <w:rsid w:val="00CD5443"/>
    <w:rsid w:val="00CD669D"/>
    <w:rsid w:val="00CF4ADB"/>
    <w:rsid w:val="00CF5F13"/>
    <w:rsid w:val="00CF7EF2"/>
    <w:rsid w:val="00D00E2D"/>
    <w:rsid w:val="00D01A1F"/>
    <w:rsid w:val="00D04876"/>
    <w:rsid w:val="00D120F1"/>
    <w:rsid w:val="00D15AE7"/>
    <w:rsid w:val="00D20685"/>
    <w:rsid w:val="00D27044"/>
    <w:rsid w:val="00D33098"/>
    <w:rsid w:val="00D33BBE"/>
    <w:rsid w:val="00D359BB"/>
    <w:rsid w:val="00D50111"/>
    <w:rsid w:val="00D66E78"/>
    <w:rsid w:val="00D86A07"/>
    <w:rsid w:val="00D968EF"/>
    <w:rsid w:val="00D97465"/>
    <w:rsid w:val="00DA19EB"/>
    <w:rsid w:val="00DA62C2"/>
    <w:rsid w:val="00DC6171"/>
    <w:rsid w:val="00DF4F46"/>
    <w:rsid w:val="00DF73E4"/>
    <w:rsid w:val="00E01818"/>
    <w:rsid w:val="00E03162"/>
    <w:rsid w:val="00E20329"/>
    <w:rsid w:val="00E265D0"/>
    <w:rsid w:val="00E4457A"/>
    <w:rsid w:val="00E50EB3"/>
    <w:rsid w:val="00E541AB"/>
    <w:rsid w:val="00E57FCA"/>
    <w:rsid w:val="00E72144"/>
    <w:rsid w:val="00E750E4"/>
    <w:rsid w:val="00E84B3B"/>
    <w:rsid w:val="00E92617"/>
    <w:rsid w:val="00E94533"/>
    <w:rsid w:val="00EA05E7"/>
    <w:rsid w:val="00ED0CDE"/>
    <w:rsid w:val="00ED75B4"/>
    <w:rsid w:val="00EE1848"/>
    <w:rsid w:val="00EF5298"/>
    <w:rsid w:val="00F01070"/>
    <w:rsid w:val="00F122DE"/>
    <w:rsid w:val="00F235D1"/>
    <w:rsid w:val="00F46031"/>
    <w:rsid w:val="00F5333A"/>
    <w:rsid w:val="00F535AD"/>
    <w:rsid w:val="00F55461"/>
    <w:rsid w:val="00F57E39"/>
    <w:rsid w:val="00F61C9D"/>
    <w:rsid w:val="00F677CD"/>
    <w:rsid w:val="00F746E3"/>
    <w:rsid w:val="00FA243F"/>
    <w:rsid w:val="00FA3057"/>
    <w:rsid w:val="00FB6729"/>
    <w:rsid w:val="00FC400E"/>
    <w:rsid w:val="00FE2A13"/>
    <w:rsid w:val="00FE789A"/>
    <w:rsid w:val="00FF66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1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CA7818"/>
    <w:pPr>
      <w:keepNext/>
      <w:jc w:val="center"/>
      <w:outlineLvl w:val="2"/>
    </w:pPr>
    <w:rPr>
      <w:b/>
      <w:sz w:val="28"/>
      <w:szCs w:val="20"/>
    </w:rPr>
  </w:style>
  <w:style w:type="paragraph" w:styleId="Heading4">
    <w:name w:val="heading 4"/>
    <w:basedOn w:val="Normal"/>
    <w:next w:val="Normal"/>
    <w:link w:val="Heading4Char"/>
    <w:uiPriority w:val="9"/>
    <w:semiHidden/>
    <w:unhideWhenUsed/>
    <w:qFormat/>
    <w:rsid w:val="006E12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7818"/>
    <w:rPr>
      <w:rFonts w:ascii="Times New Roman" w:eastAsia="Times New Roman" w:hAnsi="Times New Roman" w:cs="Times New Roman"/>
      <w:b/>
      <w:sz w:val="28"/>
      <w:szCs w:val="20"/>
      <w:lang w:val="en-US"/>
    </w:rPr>
  </w:style>
  <w:style w:type="paragraph" w:styleId="ListParagraph">
    <w:name w:val="List Paragraph"/>
    <w:aliases w:val="numbered,List Paragraph1,List Paragraph Char Char,Equipment,List Paragraph11,List 1 Paragraph,Colorful List - Accent 11,List Paragraph111,Bullet List,FooterText,lp1,Use Case List Paragraph,Heading2,Paragraphe de liste1,列出段落,列出段落1,b1,list1"/>
    <w:basedOn w:val="Normal"/>
    <w:link w:val="ListParagraphChar"/>
    <w:uiPriority w:val="34"/>
    <w:qFormat/>
    <w:rsid w:val="00CA7818"/>
    <w:pPr>
      <w:ind w:left="720"/>
    </w:pPr>
  </w:style>
  <w:style w:type="character" w:customStyle="1" w:styleId="ListParagraphChar">
    <w:name w:val="List Paragraph Char"/>
    <w:aliases w:val="numbered Char,List Paragraph1 Char,List Paragraph Char Char Char,Equipment Char,List Paragraph11 Char,List 1 Paragraph Char,Colorful List - Accent 11 Char,List Paragraph111 Char,Bullet List Char,FooterText Char,lp1 Char,Heading2 Char"/>
    <w:link w:val="ListParagraph"/>
    <w:uiPriority w:val="34"/>
    <w:qFormat/>
    <w:rsid w:val="00CA7818"/>
    <w:rPr>
      <w:rFonts w:ascii="Times New Roman" w:eastAsia="Times New Roman" w:hAnsi="Times New Roman" w:cs="Times New Roman"/>
      <w:sz w:val="24"/>
      <w:szCs w:val="24"/>
      <w:lang w:val="en-US"/>
    </w:rPr>
  </w:style>
  <w:style w:type="paragraph" w:styleId="NoSpacing">
    <w:name w:val="No Spacing"/>
    <w:link w:val="NoSpacingChar"/>
    <w:uiPriority w:val="1"/>
    <w:qFormat/>
    <w:rsid w:val="00CA7818"/>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CA7818"/>
    <w:pPr>
      <w:autoSpaceDE w:val="0"/>
      <w:autoSpaceDN w:val="0"/>
      <w:adjustRightInd w:val="0"/>
      <w:spacing w:after="0" w:line="240" w:lineRule="auto"/>
    </w:pPr>
    <w:rPr>
      <w:rFonts w:ascii="Arial" w:eastAsia="Times New Roman" w:hAnsi="Arial" w:cs="Arial"/>
      <w:color w:val="000000"/>
      <w:sz w:val="24"/>
      <w:szCs w:val="24"/>
      <w:lang w:val="en-US" w:bidi="hi-IN"/>
    </w:rPr>
  </w:style>
  <w:style w:type="character" w:customStyle="1" w:styleId="NoSpacingChar">
    <w:name w:val="No Spacing Char"/>
    <w:link w:val="NoSpacing"/>
    <w:uiPriority w:val="1"/>
    <w:locked/>
    <w:rsid w:val="00CA7818"/>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6E12D6"/>
    <w:rPr>
      <w:rFonts w:asciiTheme="majorHAnsi" w:eastAsiaTheme="majorEastAsia" w:hAnsiTheme="majorHAnsi" w:cstheme="majorBidi"/>
      <w:i/>
      <w:iCs/>
      <w:color w:val="2F5496" w:themeColor="accent1" w:themeShade="BF"/>
      <w:sz w:val="24"/>
      <w:szCs w:val="24"/>
      <w:lang w:val="en-US"/>
    </w:rPr>
  </w:style>
  <w:style w:type="paragraph" w:styleId="BodyTextIndent2">
    <w:name w:val="Body Text Indent 2"/>
    <w:basedOn w:val="Normal"/>
    <w:link w:val="BodyTextIndent2Char"/>
    <w:semiHidden/>
    <w:rsid w:val="006E12D6"/>
    <w:pPr>
      <w:ind w:left="720" w:hanging="720"/>
      <w:jc w:val="both"/>
    </w:pPr>
    <w:rPr>
      <w:szCs w:val="20"/>
    </w:rPr>
  </w:style>
  <w:style w:type="character" w:customStyle="1" w:styleId="BodyTextIndent2Char">
    <w:name w:val="Body Text Indent 2 Char"/>
    <w:basedOn w:val="DefaultParagraphFont"/>
    <w:link w:val="BodyTextIndent2"/>
    <w:semiHidden/>
    <w:rsid w:val="006E12D6"/>
    <w:rPr>
      <w:rFonts w:ascii="Times New Roman" w:eastAsia="Times New Roman" w:hAnsi="Times New Roman" w:cs="Times New Roman"/>
      <w:sz w:val="24"/>
      <w:szCs w:val="20"/>
      <w:lang w:val="en-US"/>
    </w:rPr>
  </w:style>
  <w:style w:type="paragraph" w:styleId="Header">
    <w:name w:val="header"/>
    <w:basedOn w:val="Normal"/>
    <w:link w:val="HeaderChar"/>
    <w:uiPriority w:val="99"/>
    <w:rsid w:val="006E12D6"/>
    <w:pPr>
      <w:tabs>
        <w:tab w:val="center" w:pos="4320"/>
        <w:tab w:val="right" w:pos="8640"/>
      </w:tabs>
    </w:pPr>
  </w:style>
  <w:style w:type="character" w:customStyle="1" w:styleId="HeaderChar">
    <w:name w:val="Header Char"/>
    <w:basedOn w:val="DefaultParagraphFont"/>
    <w:link w:val="Header"/>
    <w:uiPriority w:val="99"/>
    <w:rsid w:val="006E12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55684"/>
    <w:rPr>
      <w:rFonts w:ascii="Tahoma" w:hAnsi="Tahoma" w:cs="Tahoma"/>
      <w:sz w:val="16"/>
      <w:szCs w:val="16"/>
    </w:rPr>
  </w:style>
  <w:style w:type="character" w:customStyle="1" w:styleId="BalloonTextChar">
    <w:name w:val="Balloon Text Char"/>
    <w:basedOn w:val="DefaultParagraphFont"/>
    <w:link w:val="BalloonText"/>
    <w:uiPriority w:val="99"/>
    <w:semiHidden/>
    <w:rsid w:val="00C55684"/>
    <w:rPr>
      <w:rFonts w:ascii="Tahoma" w:eastAsia="Times New Roman" w:hAnsi="Tahoma" w:cs="Tahoma"/>
      <w:sz w:val="16"/>
      <w:szCs w:val="16"/>
      <w:lang w:val="en-US"/>
    </w:rPr>
  </w:style>
  <w:style w:type="paragraph" w:styleId="Footer">
    <w:name w:val="footer"/>
    <w:basedOn w:val="Normal"/>
    <w:link w:val="FooterChar"/>
    <w:uiPriority w:val="99"/>
    <w:unhideWhenUsed/>
    <w:rsid w:val="005460D7"/>
    <w:pPr>
      <w:tabs>
        <w:tab w:val="center" w:pos="4513"/>
        <w:tab w:val="right" w:pos="9026"/>
      </w:tabs>
    </w:pPr>
  </w:style>
  <w:style w:type="character" w:customStyle="1" w:styleId="FooterChar">
    <w:name w:val="Footer Char"/>
    <w:basedOn w:val="DefaultParagraphFont"/>
    <w:link w:val="Footer"/>
    <w:uiPriority w:val="99"/>
    <w:rsid w:val="005460D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1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CA7818"/>
    <w:pPr>
      <w:keepNext/>
      <w:jc w:val="center"/>
      <w:outlineLvl w:val="2"/>
    </w:pPr>
    <w:rPr>
      <w:b/>
      <w:sz w:val="28"/>
      <w:szCs w:val="20"/>
    </w:rPr>
  </w:style>
  <w:style w:type="paragraph" w:styleId="Heading4">
    <w:name w:val="heading 4"/>
    <w:basedOn w:val="Normal"/>
    <w:next w:val="Normal"/>
    <w:link w:val="Heading4Char"/>
    <w:uiPriority w:val="9"/>
    <w:semiHidden/>
    <w:unhideWhenUsed/>
    <w:qFormat/>
    <w:rsid w:val="006E12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7818"/>
    <w:rPr>
      <w:rFonts w:ascii="Times New Roman" w:eastAsia="Times New Roman" w:hAnsi="Times New Roman" w:cs="Times New Roman"/>
      <w:b/>
      <w:sz w:val="28"/>
      <w:szCs w:val="20"/>
      <w:lang w:val="en-US"/>
    </w:rPr>
  </w:style>
  <w:style w:type="paragraph" w:styleId="ListParagraph">
    <w:name w:val="List Paragraph"/>
    <w:aliases w:val="numbered,List Paragraph1,List Paragraph Char Char,Equipment,List Paragraph11,List 1 Paragraph,Colorful List - Accent 11,List Paragraph111,Bullet List,FooterText,lp1,Use Case List Paragraph,Heading2,Paragraphe de liste1,列出段落,列出段落1,b1,list1"/>
    <w:basedOn w:val="Normal"/>
    <w:link w:val="ListParagraphChar"/>
    <w:uiPriority w:val="34"/>
    <w:qFormat/>
    <w:rsid w:val="00CA7818"/>
    <w:pPr>
      <w:ind w:left="720"/>
    </w:pPr>
  </w:style>
  <w:style w:type="character" w:customStyle="1" w:styleId="ListParagraphChar">
    <w:name w:val="List Paragraph Char"/>
    <w:aliases w:val="numbered Char,List Paragraph1 Char,List Paragraph Char Char Char,Equipment Char,List Paragraph11 Char,List 1 Paragraph Char,Colorful List - Accent 11 Char,List Paragraph111 Char,Bullet List Char,FooterText Char,lp1 Char,Heading2 Char"/>
    <w:link w:val="ListParagraph"/>
    <w:uiPriority w:val="34"/>
    <w:qFormat/>
    <w:rsid w:val="00CA7818"/>
    <w:rPr>
      <w:rFonts w:ascii="Times New Roman" w:eastAsia="Times New Roman" w:hAnsi="Times New Roman" w:cs="Times New Roman"/>
      <w:sz w:val="24"/>
      <w:szCs w:val="24"/>
      <w:lang w:val="en-US"/>
    </w:rPr>
  </w:style>
  <w:style w:type="paragraph" w:styleId="NoSpacing">
    <w:name w:val="No Spacing"/>
    <w:link w:val="NoSpacingChar"/>
    <w:uiPriority w:val="1"/>
    <w:qFormat/>
    <w:rsid w:val="00CA7818"/>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CA7818"/>
    <w:pPr>
      <w:autoSpaceDE w:val="0"/>
      <w:autoSpaceDN w:val="0"/>
      <w:adjustRightInd w:val="0"/>
      <w:spacing w:after="0" w:line="240" w:lineRule="auto"/>
    </w:pPr>
    <w:rPr>
      <w:rFonts w:ascii="Arial" w:eastAsia="Times New Roman" w:hAnsi="Arial" w:cs="Arial"/>
      <w:color w:val="000000"/>
      <w:sz w:val="24"/>
      <w:szCs w:val="24"/>
      <w:lang w:val="en-US" w:bidi="hi-IN"/>
    </w:rPr>
  </w:style>
  <w:style w:type="character" w:customStyle="1" w:styleId="NoSpacingChar">
    <w:name w:val="No Spacing Char"/>
    <w:link w:val="NoSpacing"/>
    <w:uiPriority w:val="1"/>
    <w:locked/>
    <w:rsid w:val="00CA7818"/>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6E12D6"/>
    <w:rPr>
      <w:rFonts w:asciiTheme="majorHAnsi" w:eastAsiaTheme="majorEastAsia" w:hAnsiTheme="majorHAnsi" w:cstheme="majorBidi"/>
      <w:i/>
      <w:iCs/>
      <w:color w:val="2F5496" w:themeColor="accent1" w:themeShade="BF"/>
      <w:sz w:val="24"/>
      <w:szCs w:val="24"/>
      <w:lang w:val="en-US"/>
    </w:rPr>
  </w:style>
  <w:style w:type="paragraph" w:styleId="BodyTextIndent2">
    <w:name w:val="Body Text Indent 2"/>
    <w:basedOn w:val="Normal"/>
    <w:link w:val="BodyTextIndent2Char"/>
    <w:semiHidden/>
    <w:rsid w:val="006E12D6"/>
    <w:pPr>
      <w:ind w:left="720" w:hanging="720"/>
      <w:jc w:val="both"/>
    </w:pPr>
    <w:rPr>
      <w:szCs w:val="20"/>
    </w:rPr>
  </w:style>
  <w:style w:type="character" w:customStyle="1" w:styleId="BodyTextIndent2Char">
    <w:name w:val="Body Text Indent 2 Char"/>
    <w:basedOn w:val="DefaultParagraphFont"/>
    <w:link w:val="BodyTextIndent2"/>
    <w:semiHidden/>
    <w:rsid w:val="006E12D6"/>
    <w:rPr>
      <w:rFonts w:ascii="Times New Roman" w:eastAsia="Times New Roman" w:hAnsi="Times New Roman" w:cs="Times New Roman"/>
      <w:sz w:val="24"/>
      <w:szCs w:val="20"/>
      <w:lang w:val="en-US"/>
    </w:rPr>
  </w:style>
  <w:style w:type="paragraph" w:styleId="Header">
    <w:name w:val="header"/>
    <w:basedOn w:val="Normal"/>
    <w:link w:val="HeaderChar"/>
    <w:uiPriority w:val="99"/>
    <w:rsid w:val="006E12D6"/>
    <w:pPr>
      <w:tabs>
        <w:tab w:val="center" w:pos="4320"/>
        <w:tab w:val="right" w:pos="8640"/>
      </w:tabs>
    </w:pPr>
  </w:style>
  <w:style w:type="character" w:customStyle="1" w:styleId="HeaderChar">
    <w:name w:val="Header Char"/>
    <w:basedOn w:val="DefaultParagraphFont"/>
    <w:link w:val="Header"/>
    <w:uiPriority w:val="99"/>
    <w:rsid w:val="006E12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55684"/>
    <w:rPr>
      <w:rFonts w:ascii="Tahoma" w:hAnsi="Tahoma" w:cs="Tahoma"/>
      <w:sz w:val="16"/>
      <w:szCs w:val="16"/>
    </w:rPr>
  </w:style>
  <w:style w:type="character" w:customStyle="1" w:styleId="BalloonTextChar">
    <w:name w:val="Balloon Text Char"/>
    <w:basedOn w:val="DefaultParagraphFont"/>
    <w:link w:val="BalloonText"/>
    <w:uiPriority w:val="99"/>
    <w:semiHidden/>
    <w:rsid w:val="00C55684"/>
    <w:rPr>
      <w:rFonts w:ascii="Tahoma" w:eastAsia="Times New Roman" w:hAnsi="Tahoma" w:cs="Tahoma"/>
      <w:sz w:val="16"/>
      <w:szCs w:val="16"/>
      <w:lang w:val="en-US"/>
    </w:rPr>
  </w:style>
  <w:style w:type="paragraph" w:styleId="Footer">
    <w:name w:val="footer"/>
    <w:basedOn w:val="Normal"/>
    <w:link w:val="FooterChar"/>
    <w:uiPriority w:val="99"/>
    <w:unhideWhenUsed/>
    <w:rsid w:val="005460D7"/>
    <w:pPr>
      <w:tabs>
        <w:tab w:val="center" w:pos="4513"/>
        <w:tab w:val="right" w:pos="9026"/>
      </w:tabs>
    </w:pPr>
  </w:style>
  <w:style w:type="character" w:customStyle="1" w:styleId="FooterChar">
    <w:name w:val="Footer Char"/>
    <w:basedOn w:val="DefaultParagraphFont"/>
    <w:link w:val="Footer"/>
    <w:uiPriority w:val="99"/>
    <w:rsid w:val="005460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966">
      <w:bodyDiv w:val="1"/>
      <w:marLeft w:val="0"/>
      <w:marRight w:val="0"/>
      <w:marTop w:val="0"/>
      <w:marBottom w:val="0"/>
      <w:divBdr>
        <w:top w:val="none" w:sz="0" w:space="0" w:color="auto"/>
        <w:left w:val="none" w:sz="0" w:space="0" w:color="auto"/>
        <w:bottom w:val="none" w:sz="0" w:space="0" w:color="auto"/>
        <w:right w:val="none" w:sz="0" w:space="0" w:color="auto"/>
      </w:divBdr>
    </w:div>
    <w:div w:id="97339589">
      <w:bodyDiv w:val="1"/>
      <w:marLeft w:val="0"/>
      <w:marRight w:val="0"/>
      <w:marTop w:val="0"/>
      <w:marBottom w:val="0"/>
      <w:divBdr>
        <w:top w:val="none" w:sz="0" w:space="0" w:color="auto"/>
        <w:left w:val="none" w:sz="0" w:space="0" w:color="auto"/>
        <w:bottom w:val="none" w:sz="0" w:space="0" w:color="auto"/>
        <w:right w:val="none" w:sz="0" w:space="0" w:color="auto"/>
      </w:divBdr>
    </w:div>
    <w:div w:id="290480082">
      <w:bodyDiv w:val="1"/>
      <w:marLeft w:val="0"/>
      <w:marRight w:val="0"/>
      <w:marTop w:val="0"/>
      <w:marBottom w:val="0"/>
      <w:divBdr>
        <w:top w:val="none" w:sz="0" w:space="0" w:color="auto"/>
        <w:left w:val="none" w:sz="0" w:space="0" w:color="auto"/>
        <w:bottom w:val="none" w:sz="0" w:space="0" w:color="auto"/>
        <w:right w:val="none" w:sz="0" w:space="0" w:color="auto"/>
      </w:divBdr>
    </w:div>
    <w:div w:id="483936043">
      <w:bodyDiv w:val="1"/>
      <w:marLeft w:val="0"/>
      <w:marRight w:val="0"/>
      <w:marTop w:val="0"/>
      <w:marBottom w:val="0"/>
      <w:divBdr>
        <w:top w:val="none" w:sz="0" w:space="0" w:color="auto"/>
        <w:left w:val="none" w:sz="0" w:space="0" w:color="auto"/>
        <w:bottom w:val="none" w:sz="0" w:space="0" w:color="auto"/>
        <w:right w:val="none" w:sz="0" w:space="0" w:color="auto"/>
      </w:divBdr>
    </w:div>
    <w:div w:id="556477890">
      <w:bodyDiv w:val="1"/>
      <w:marLeft w:val="0"/>
      <w:marRight w:val="0"/>
      <w:marTop w:val="0"/>
      <w:marBottom w:val="0"/>
      <w:divBdr>
        <w:top w:val="none" w:sz="0" w:space="0" w:color="auto"/>
        <w:left w:val="none" w:sz="0" w:space="0" w:color="auto"/>
        <w:bottom w:val="none" w:sz="0" w:space="0" w:color="auto"/>
        <w:right w:val="none" w:sz="0" w:space="0" w:color="auto"/>
      </w:divBdr>
    </w:div>
    <w:div w:id="660357450">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
    <w:div w:id="1132291234">
      <w:bodyDiv w:val="1"/>
      <w:marLeft w:val="0"/>
      <w:marRight w:val="0"/>
      <w:marTop w:val="0"/>
      <w:marBottom w:val="0"/>
      <w:divBdr>
        <w:top w:val="none" w:sz="0" w:space="0" w:color="auto"/>
        <w:left w:val="none" w:sz="0" w:space="0" w:color="auto"/>
        <w:bottom w:val="none" w:sz="0" w:space="0" w:color="auto"/>
        <w:right w:val="none" w:sz="0" w:space="0" w:color="auto"/>
      </w:divBdr>
    </w:div>
    <w:div w:id="1137843155">
      <w:bodyDiv w:val="1"/>
      <w:marLeft w:val="0"/>
      <w:marRight w:val="0"/>
      <w:marTop w:val="0"/>
      <w:marBottom w:val="0"/>
      <w:divBdr>
        <w:top w:val="none" w:sz="0" w:space="0" w:color="auto"/>
        <w:left w:val="none" w:sz="0" w:space="0" w:color="auto"/>
        <w:bottom w:val="none" w:sz="0" w:space="0" w:color="auto"/>
        <w:right w:val="none" w:sz="0" w:space="0" w:color="auto"/>
      </w:divBdr>
    </w:div>
    <w:div w:id="1502240415">
      <w:bodyDiv w:val="1"/>
      <w:marLeft w:val="0"/>
      <w:marRight w:val="0"/>
      <w:marTop w:val="0"/>
      <w:marBottom w:val="0"/>
      <w:divBdr>
        <w:top w:val="none" w:sz="0" w:space="0" w:color="auto"/>
        <w:left w:val="none" w:sz="0" w:space="0" w:color="auto"/>
        <w:bottom w:val="none" w:sz="0" w:space="0" w:color="auto"/>
        <w:right w:val="none" w:sz="0" w:space="0" w:color="auto"/>
      </w:divBdr>
    </w:div>
    <w:div w:id="1643458281">
      <w:bodyDiv w:val="1"/>
      <w:marLeft w:val="0"/>
      <w:marRight w:val="0"/>
      <w:marTop w:val="0"/>
      <w:marBottom w:val="0"/>
      <w:divBdr>
        <w:top w:val="none" w:sz="0" w:space="0" w:color="auto"/>
        <w:left w:val="none" w:sz="0" w:space="0" w:color="auto"/>
        <w:bottom w:val="none" w:sz="0" w:space="0" w:color="auto"/>
        <w:right w:val="none" w:sz="0" w:space="0" w:color="auto"/>
      </w:divBdr>
    </w:div>
    <w:div w:id="1716126530">
      <w:bodyDiv w:val="1"/>
      <w:marLeft w:val="0"/>
      <w:marRight w:val="0"/>
      <w:marTop w:val="0"/>
      <w:marBottom w:val="0"/>
      <w:divBdr>
        <w:top w:val="none" w:sz="0" w:space="0" w:color="auto"/>
        <w:left w:val="none" w:sz="0" w:space="0" w:color="auto"/>
        <w:bottom w:val="none" w:sz="0" w:space="0" w:color="auto"/>
        <w:right w:val="none" w:sz="0" w:space="0" w:color="auto"/>
      </w:divBdr>
    </w:div>
    <w:div w:id="1747995811">
      <w:bodyDiv w:val="1"/>
      <w:marLeft w:val="0"/>
      <w:marRight w:val="0"/>
      <w:marTop w:val="0"/>
      <w:marBottom w:val="0"/>
      <w:divBdr>
        <w:top w:val="none" w:sz="0" w:space="0" w:color="auto"/>
        <w:left w:val="none" w:sz="0" w:space="0" w:color="auto"/>
        <w:bottom w:val="none" w:sz="0" w:space="0" w:color="auto"/>
        <w:right w:val="none" w:sz="0" w:space="0" w:color="auto"/>
      </w:divBdr>
    </w:div>
    <w:div w:id="1767529778">
      <w:bodyDiv w:val="1"/>
      <w:marLeft w:val="0"/>
      <w:marRight w:val="0"/>
      <w:marTop w:val="0"/>
      <w:marBottom w:val="0"/>
      <w:divBdr>
        <w:top w:val="none" w:sz="0" w:space="0" w:color="auto"/>
        <w:left w:val="none" w:sz="0" w:space="0" w:color="auto"/>
        <w:bottom w:val="none" w:sz="0" w:space="0" w:color="auto"/>
        <w:right w:val="none" w:sz="0" w:space="0" w:color="auto"/>
      </w:divBdr>
    </w:div>
    <w:div w:id="1806044031">
      <w:bodyDiv w:val="1"/>
      <w:marLeft w:val="0"/>
      <w:marRight w:val="0"/>
      <w:marTop w:val="0"/>
      <w:marBottom w:val="0"/>
      <w:divBdr>
        <w:top w:val="none" w:sz="0" w:space="0" w:color="auto"/>
        <w:left w:val="none" w:sz="0" w:space="0" w:color="auto"/>
        <w:bottom w:val="none" w:sz="0" w:space="0" w:color="auto"/>
        <w:right w:val="none" w:sz="0" w:space="0" w:color="auto"/>
      </w:divBdr>
    </w:div>
    <w:div w:id="1901553551">
      <w:bodyDiv w:val="1"/>
      <w:marLeft w:val="0"/>
      <w:marRight w:val="0"/>
      <w:marTop w:val="0"/>
      <w:marBottom w:val="0"/>
      <w:divBdr>
        <w:top w:val="none" w:sz="0" w:space="0" w:color="auto"/>
        <w:left w:val="none" w:sz="0" w:space="0" w:color="auto"/>
        <w:bottom w:val="none" w:sz="0" w:space="0" w:color="auto"/>
        <w:right w:val="none" w:sz="0" w:space="0" w:color="auto"/>
      </w:divBdr>
    </w:div>
    <w:div w:id="21349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SGR</dc:creator>
  <cp:lastModifiedBy>Mrinal Kumar</cp:lastModifiedBy>
  <cp:revision>325</cp:revision>
  <cp:lastPrinted>2025-04-24T06:08:00Z</cp:lastPrinted>
  <dcterms:created xsi:type="dcterms:W3CDTF">2024-04-24T11:45:00Z</dcterms:created>
  <dcterms:modified xsi:type="dcterms:W3CDTF">2025-08-11T12:16:00Z</dcterms:modified>
</cp:coreProperties>
</file>